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1CD0" w:rsidRDefault="00E11052">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rPr>
        <w:t>3GPP TSG RAN WG1 #10</w:t>
      </w:r>
      <w:r>
        <w:rPr>
          <w:rFonts w:ascii="Arial" w:hAnsi="Arial" w:cs="Arial" w:hint="eastAsia"/>
          <w:b/>
          <w:bCs/>
          <w:sz w:val="22"/>
          <w:szCs w:val="22"/>
        </w:rPr>
        <w:t>6</w:t>
      </w:r>
      <w:r>
        <w:rPr>
          <w:rFonts w:ascii="Arial" w:hAnsi="Arial" w:cs="Arial" w:hint="eastAsia"/>
          <w:b/>
          <w:bCs/>
          <w:sz w:val="22"/>
          <w:szCs w:val="22"/>
        </w:rPr>
        <w:t>bis</w:t>
      </w:r>
      <w:r>
        <w:rPr>
          <w:rFonts w:ascii="Arial" w:hAnsi="Arial" w:cs="Arial"/>
          <w:b/>
          <w:bCs/>
          <w:sz w:val="22"/>
          <w:szCs w:val="22"/>
        </w:rPr>
        <w:t>-e</w:t>
      </w:r>
      <w:r>
        <w:rPr>
          <w:rFonts w:ascii="Arial" w:hAnsi="Arial" w:cs="Arial"/>
          <w:b/>
          <w:bCs/>
          <w:sz w:val="22"/>
          <w:szCs w:val="22"/>
        </w:rPr>
        <w:tab/>
      </w:r>
      <w:r>
        <w:rPr>
          <w:rFonts w:ascii="Arial" w:hAnsi="Arial" w:cs="Arial"/>
          <w:b/>
          <w:bCs/>
          <w:sz w:val="22"/>
          <w:szCs w:val="22"/>
        </w:rPr>
        <w:tab/>
        <w:t>R1-21</w:t>
      </w:r>
      <w:r>
        <w:rPr>
          <w:rFonts w:ascii="Arial" w:hAnsi="Arial" w:cs="Arial" w:hint="eastAsia"/>
          <w:b/>
          <w:bCs/>
          <w:sz w:val="22"/>
          <w:szCs w:val="22"/>
        </w:rPr>
        <w:t>09261</w:t>
      </w:r>
    </w:p>
    <w:p w:rsidR="00DF1CD0" w:rsidRDefault="00E11052">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lang w:eastAsia="ja-JP"/>
        </w:rPr>
        <w:t xml:space="preserve">e-Meeting, </w:t>
      </w:r>
      <w:r>
        <w:rPr>
          <w:rFonts w:ascii="Arial" w:hAnsi="Arial" w:cs="Arial" w:hint="eastAsia"/>
          <w:b/>
          <w:bCs/>
          <w:sz w:val="22"/>
          <w:szCs w:val="22"/>
        </w:rPr>
        <w:t>October</w:t>
      </w:r>
      <w:r>
        <w:rPr>
          <w:rFonts w:ascii="Arial" w:hAnsi="Arial" w:cs="Arial"/>
          <w:b/>
          <w:bCs/>
          <w:sz w:val="22"/>
          <w:szCs w:val="22"/>
        </w:rPr>
        <w:t xml:space="preserve"> 1</w:t>
      </w:r>
      <w:r>
        <w:rPr>
          <w:rFonts w:ascii="Arial" w:hAnsi="Arial" w:cs="Arial" w:hint="eastAsia"/>
          <w:b/>
          <w:bCs/>
          <w:sz w:val="22"/>
          <w:szCs w:val="22"/>
        </w:rPr>
        <w:t>1</w:t>
      </w:r>
      <w:r>
        <w:rPr>
          <w:rFonts w:ascii="Arial" w:hAnsi="Arial" w:cs="Arial"/>
          <w:b/>
          <w:bCs/>
          <w:sz w:val="22"/>
          <w:szCs w:val="22"/>
          <w:vertAlign w:val="superscript"/>
          <w:lang w:eastAsia="ja-JP"/>
        </w:rPr>
        <w:t>th</w:t>
      </w:r>
      <w:r>
        <w:rPr>
          <w:rFonts w:ascii="Arial" w:hAnsi="Arial" w:cs="Arial"/>
          <w:b/>
          <w:bCs/>
          <w:sz w:val="22"/>
          <w:szCs w:val="22"/>
          <w:lang w:eastAsia="ja-JP"/>
        </w:rPr>
        <w:t xml:space="preserve"> – </w:t>
      </w:r>
      <w:r>
        <w:rPr>
          <w:rFonts w:ascii="Arial" w:hAnsi="Arial" w:cs="Arial" w:hint="eastAsia"/>
          <w:b/>
          <w:bCs/>
          <w:sz w:val="22"/>
          <w:szCs w:val="22"/>
        </w:rPr>
        <w:t>19</w:t>
      </w:r>
      <w:r>
        <w:rPr>
          <w:rFonts w:ascii="Arial" w:hAnsi="Arial" w:cs="Arial"/>
          <w:b/>
          <w:bCs/>
          <w:sz w:val="22"/>
          <w:szCs w:val="22"/>
          <w:vertAlign w:val="superscript"/>
          <w:lang w:eastAsia="ja-JP"/>
        </w:rPr>
        <w:t>th</w:t>
      </w:r>
      <w:r>
        <w:rPr>
          <w:rFonts w:ascii="Arial" w:hAnsi="Arial" w:cs="Arial"/>
          <w:b/>
          <w:bCs/>
          <w:sz w:val="22"/>
          <w:szCs w:val="22"/>
          <w:lang w:eastAsia="ja-JP"/>
        </w:rPr>
        <w:t xml:space="preserve">, </w:t>
      </w:r>
      <w:r>
        <w:rPr>
          <w:rFonts w:ascii="Arial" w:hAnsi="Arial" w:cs="Arial"/>
          <w:b/>
          <w:bCs/>
          <w:sz w:val="22"/>
          <w:szCs w:val="22"/>
        </w:rPr>
        <w:t>2021</w:t>
      </w:r>
    </w:p>
    <w:p w:rsidR="00DF1CD0" w:rsidRDefault="00E11052">
      <w:pPr>
        <w:tabs>
          <w:tab w:val="left" w:pos="1985"/>
        </w:tabs>
        <w:spacing w:beforeLines="100" w:before="240" w:after="120"/>
        <w:ind w:left="1987" w:hanging="1987"/>
        <w:rPr>
          <w:rFonts w:ascii="Arial" w:hAnsi="Arial" w:cs="Arial"/>
          <w:b/>
          <w:sz w:val="22"/>
          <w:szCs w:val="22"/>
        </w:rPr>
      </w:pPr>
      <w:r>
        <w:rPr>
          <w:rFonts w:ascii="Arial" w:hAnsi="Arial" w:cs="Arial"/>
          <w:b/>
          <w:sz w:val="22"/>
          <w:szCs w:val="22"/>
        </w:rPr>
        <w:t xml:space="preserve">Title: </w:t>
      </w:r>
      <w:r>
        <w:rPr>
          <w:rFonts w:ascii="Arial" w:hAnsi="Arial" w:cs="Arial"/>
          <w:b/>
          <w:sz w:val="22"/>
          <w:szCs w:val="22"/>
        </w:rPr>
        <w:tab/>
        <w:t>Enhancements to the IAB resource multiplexing</w:t>
      </w:r>
    </w:p>
    <w:p w:rsidR="00DF1CD0" w:rsidRDefault="00E11052">
      <w:pPr>
        <w:tabs>
          <w:tab w:val="left" w:pos="1985"/>
        </w:tabs>
        <w:spacing w:before="120" w:after="120"/>
        <w:ind w:left="1980" w:hanging="1980"/>
        <w:rPr>
          <w:rFonts w:ascii="Arial" w:hAnsi="Arial" w:cs="Arial"/>
          <w:b/>
          <w:sz w:val="22"/>
          <w:szCs w:val="22"/>
        </w:rPr>
      </w:pPr>
      <w:r>
        <w:rPr>
          <w:rFonts w:ascii="Arial" w:hAnsi="Arial" w:cs="Arial"/>
          <w:b/>
          <w:sz w:val="22"/>
          <w:szCs w:val="22"/>
        </w:rPr>
        <w:t xml:space="preserve">Source: </w:t>
      </w:r>
      <w:r>
        <w:rPr>
          <w:rFonts w:ascii="Arial" w:hAnsi="Arial" w:cs="Arial"/>
          <w:b/>
          <w:sz w:val="22"/>
          <w:szCs w:val="22"/>
        </w:rPr>
        <w:tab/>
        <w:t>ZTE, Sanechips</w:t>
      </w:r>
    </w:p>
    <w:p w:rsidR="00DF1CD0" w:rsidRDefault="00E11052">
      <w:pPr>
        <w:tabs>
          <w:tab w:val="left" w:pos="1985"/>
        </w:tabs>
        <w:spacing w:before="120" w:after="120"/>
        <w:rPr>
          <w:rFonts w:ascii="Arial" w:hAnsi="Arial" w:cs="Arial"/>
          <w:b/>
          <w:sz w:val="22"/>
          <w:szCs w:val="22"/>
        </w:rPr>
      </w:pPr>
      <w:r>
        <w:rPr>
          <w:rFonts w:ascii="Arial" w:hAnsi="Arial" w:cs="Arial"/>
          <w:b/>
          <w:sz w:val="22"/>
          <w:szCs w:val="22"/>
          <w:lang w:val="pt-BR"/>
        </w:rPr>
        <w:t>Agenda item:</w:t>
      </w:r>
      <w:r>
        <w:rPr>
          <w:rFonts w:ascii="Arial" w:hAnsi="Arial" w:cs="Arial"/>
          <w:b/>
          <w:sz w:val="22"/>
          <w:szCs w:val="22"/>
          <w:lang w:val="pt-BR"/>
        </w:rPr>
        <w:tab/>
      </w:r>
      <w:r>
        <w:rPr>
          <w:rFonts w:ascii="Arial" w:hAnsi="Arial" w:cs="Arial"/>
          <w:b/>
          <w:sz w:val="22"/>
          <w:szCs w:val="22"/>
        </w:rPr>
        <w:t>8.10.1</w:t>
      </w:r>
    </w:p>
    <w:p w:rsidR="00DF1CD0" w:rsidRDefault="00E11052">
      <w:pPr>
        <w:tabs>
          <w:tab w:val="left" w:pos="1985"/>
        </w:tabs>
        <w:spacing w:before="120" w:after="120"/>
        <w:ind w:left="1980" w:hanging="1980"/>
        <w:rPr>
          <w:rFonts w:ascii="Arial" w:hAnsi="Arial" w:cs="Arial"/>
          <w:b/>
          <w:sz w:val="22"/>
          <w:szCs w:val="22"/>
          <w:lang w:val="pt-BR"/>
        </w:rPr>
      </w:pPr>
      <w:r>
        <w:rPr>
          <w:rFonts w:ascii="Arial" w:hAnsi="Arial" w:cs="Arial"/>
          <w:b/>
          <w:sz w:val="22"/>
          <w:szCs w:val="22"/>
          <w:lang w:val="pt-BR"/>
        </w:rPr>
        <w:t>Document for:</w:t>
      </w:r>
      <w:r>
        <w:rPr>
          <w:rFonts w:ascii="Arial" w:hAnsi="Arial" w:cs="Arial"/>
          <w:b/>
          <w:sz w:val="22"/>
          <w:szCs w:val="22"/>
          <w:lang w:val="pt-BR"/>
        </w:rPr>
        <w:tab/>
      </w:r>
      <w:r>
        <w:rPr>
          <w:rFonts w:ascii="Arial" w:hAnsi="Arial" w:cs="Arial"/>
          <w:b/>
          <w:sz w:val="22"/>
          <w:szCs w:val="22"/>
        </w:rPr>
        <w:t>Discussion and decision</w:t>
      </w:r>
    </w:p>
    <w:p w:rsidR="00DF1CD0" w:rsidRDefault="00E11052">
      <w:pPr>
        <w:pStyle w:val="1"/>
        <w:spacing w:before="120" w:after="120"/>
        <w:ind w:left="0"/>
        <w:rPr>
          <w:rFonts w:eastAsia="宋体" w:cs="Arial"/>
          <w:szCs w:val="32"/>
        </w:rPr>
      </w:pPr>
      <w:r>
        <w:rPr>
          <w:rFonts w:eastAsia="宋体" w:cs="Arial"/>
          <w:szCs w:val="32"/>
        </w:rPr>
        <w:t>Introduction</w:t>
      </w:r>
    </w:p>
    <w:p w:rsidR="00DF1CD0" w:rsidRDefault="00E11052">
      <w:pPr>
        <w:spacing w:before="120" w:after="120"/>
        <w:rPr>
          <w:sz w:val="20"/>
        </w:rPr>
      </w:pPr>
      <w:r>
        <w:rPr>
          <w:sz w:val="20"/>
        </w:rPr>
        <w:t xml:space="preserve">In order to support </w:t>
      </w:r>
      <w:r>
        <w:rPr>
          <w:sz w:val="20"/>
        </w:rPr>
        <w:t>simultaneous operation by IAB node’s child and parent links, some enhancements had been discussed</w:t>
      </w:r>
      <w:r>
        <w:rPr>
          <w:rFonts w:hint="eastAsia"/>
          <w:sz w:val="20"/>
        </w:rPr>
        <w:t xml:space="preserve">, </w:t>
      </w:r>
      <w:r>
        <w:rPr>
          <w:sz w:val="20"/>
        </w:rPr>
        <w:t xml:space="preserve">such as extension of the DU resource type indication to frequency domain, resource management in the spatial domain, </w:t>
      </w:r>
      <w:r>
        <w:rPr>
          <w:rFonts w:hint="eastAsia"/>
          <w:sz w:val="20"/>
        </w:rPr>
        <w:t xml:space="preserve">timing mode indication, </w:t>
      </w:r>
      <w:r>
        <w:rPr>
          <w:sz w:val="20"/>
        </w:rPr>
        <w:t>dual-connectivit</w:t>
      </w:r>
      <w:r>
        <w:rPr>
          <w:sz w:val="20"/>
        </w:rPr>
        <w:t>y</w:t>
      </w:r>
      <w:r>
        <w:rPr>
          <w:rFonts w:hint="eastAsia"/>
          <w:sz w:val="20"/>
        </w:rPr>
        <w:t>,</w:t>
      </w:r>
      <w:r>
        <w:rPr>
          <w:sz w:val="20"/>
        </w:rPr>
        <w:t xml:space="preserve"> etc. In this contribution, we will continue to provide views on these aspects.</w:t>
      </w:r>
    </w:p>
    <w:p w:rsidR="00DF1CD0" w:rsidRDefault="00E11052">
      <w:pPr>
        <w:pStyle w:val="1"/>
        <w:spacing w:before="120" w:after="120"/>
        <w:ind w:left="0"/>
        <w:rPr>
          <w:rFonts w:cs="Arial"/>
          <w:szCs w:val="32"/>
        </w:rPr>
      </w:pPr>
      <w:r>
        <w:rPr>
          <w:rFonts w:cs="Arial"/>
          <w:szCs w:val="32"/>
        </w:rPr>
        <w:t xml:space="preserve">Discussions </w:t>
      </w:r>
    </w:p>
    <w:p w:rsidR="00DF1CD0" w:rsidRDefault="00E11052">
      <w:pPr>
        <w:pStyle w:val="2"/>
        <w:spacing w:before="120" w:after="120"/>
        <w:ind w:left="991" w:right="210" w:hangingChars="354" w:hanging="991"/>
        <w:rPr>
          <w:sz w:val="20"/>
        </w:rPr>
      </w:pPr>
      <w:r>
        <w:rPr>
          <w:rFonts w:cs="Arial"/>
          <w:szCs w:val="28"/>
        </w:rPr>
        <w:t xml:space="preserve">DU resource </w:t>
      </w:r>
      <w:r>
        <w:rPr>
          <w:rFonts w:eastAsia="宋体" w:cs="Arial" w:hint="eastAsia"/>
          <w:szCs w:val="28"/>
        </w:rPr>
        <w:t>configuration</w:t>
      </w:r>
      <w:r>
        <w:rPr>
          <w:rFonts w:cs="Arial"/>
          <w:szCs w:val="28"/>
        </w:rPr>
        <w:t xml:space="preserve"> </w:t>
      </w:r>
      <w:r>
        <w:rPr>
          <w:rFonts w:eastAsia="宋体" w:cs="Arial" w:hint="eastAsia"/>
          <w:szCs w:val="28"/>
        </w:rPr>
        <w:t>in</w:t>
      </w:r>
      <w:r>
        <w:rPr>
          <w:rFonts w:cs="Arial"/>
          <w:szCs w:val="28"/>
        </w:rPr>
        <w:t xml:space="preserve"> frequency</w:t>
      </w:r>
      <w:r>
        <w:rPr>
          <w:rFonts w:eastAsia="宋体" w:cs="Arial"/>
          <w:szCs w:val="28"/>
        </w:rPr>
        <w:t xml:space="preserve"> </w:t>
      </w:r>
      <w:r>
        <w:rPr>
          <w:rFonts w:cs="Arial"/>
          <w:szCs w:val="28"/>
        </w:rPr>
        <w:t>domain</w:t>
      </w:r>
    </w:p>
    <w:p w:rsidR="00DF1CD0" w:rsidRDefault="00E11052">
      <w:pPr>
        <w:pStyle w:val="3"/>
        <w:spacing w:after="120"/>
        <w:ind w:right="210"/>
      </w:pPr>
      <w:r>
        <w:t>Semi-static resource configuration</w:t>
      </w:r>
    </w:p>
    <w:p w:rsidR="00DF1CD0" w:rsidRDefault="00E11052">
      <w:pPr>
        <w:spacing w:before="120" w:after="120"/>
        <w:rPr>
          <w:sz w:val="20"/>
        </w:rPr>
      </w:pPr>
      <w:r>
        <w:rPr>
          <w:sz w:val="20"/>
        </w:rPr>
        <w:t>The following agreements have been made in RAN1#10</w:t>
      </w:r>
      <w:r>
        <w:rPr>
          <w:rFonts w:hint="eastAsia"/>
          <w:sz w:val="20"/>
        </w:rPr>
        <w:t>6</w:t>
      </w:r>
      <w:r>
        <w:rPr>
          <w:sz w:val="20"/>
        </w:rPr>
        <w:t>-e on semi-static resource co</w:t>
      </w:r>
      <w:r>
        <w:rPr>
          <w:sz w:val="20"/>
        </w:rPr>
        <w:t>nfiguration for DU</w:t>
      </w:r>
      <w:r>
        <w:rPr>
          <w:rFonts w:hint="eastAsia"/>
          <w:sz w:val="20"/>
        </w:rPr>
        <w:t xml:space="preserve"> </w:t>
      </w:r>
      <w:r>
        <w:rPr>
          <w:sz w:val="20"/>
        </w:rPr>
        <w:t>[1]:</w:t>
      </w:r>
    </w:p>
    <w:tbl>
      <w:tblPr>
        <w:tblStyle w:val="ac"/>
        <w:tblW w:w="0" w:type="auto"/>
        <w:tblLook w:val="04A0" w:firstRow="1" w:lastRow="0" w:firstColumn="1" w:lastColumn="0" w:noHBand="0" w:noVBand="1"/>
      </w:tblPr>
      <w:tblGrid>
        <w:gridCol w:w="9876"/>
      </w:tblGrid>
      <w:tr w:rsidR="00DF1CD0" w:rsidRPr="00431105">
        <w:trPr>
          <w:trHeight w:val="1120"/>
        </w:trPr>
        <w:tc>
          <w:tcPr>
            <w:tcW w:w="9876" w:type="dxa"/>
          </w:tcPr>
          <w:p w:rsidR="00DF1CD0" w:rsidRDefault="00E11052">
            <w:pPr>
              <w:spacing w:before="120" w:after="120"/>
              <w:rPr>
                <w:rFonts w:cs="Times"/>
                <w:b/>
                <w:sz w:val="20"/>
                <w:highlight w:val="green"/>
              </w:rPr>
            </w:pPr>
            <w:r>
              <w:rPr>
                <w:rFonts w:cs="Times"/>
                <w:b/>
                <w:sz w:val="20"/>
                <w:highlight w:val="green"/>
              </w:rPr>
              <w:t>Agreement</w:t>
            </w:r>
          </w:p>
          <w:p w:rsidR="00DF1CD0" w:rsidRDefault="00E11052">
            <w:pPr>
              <w:spacing w:before="120" w:after="120"/>
              <w:rPr>
                <w:rFonts w:cs="Times"/>
                <w:bCs/>
                <w:sz w:val="20"/>
              </w:rPr>
            </w:pPr>
            <w:r>
              <w:rPr>
                <w:rFonts w:cs="Times"/>
                <w:bCs/>
                <w:sz w:val="20"/>
              </w:rPr>
              <w:t>The semi-static configuration of H/S/NA resource type in frequency domain is provided per RB set, per D/U/F resource type within a slot.</w:t>
            </w:r>
          </w:p>
          <w:p w:rsidR="00DF1CD0" w:rsidRDefault="00DF1CD0">
            <w:pPr>
              <w:spacing w:before="120" w:after="120"/>
              <w:rPr>
                <w:rFonts w:cs="Times"/>
                <w:sz w:val="20"/>
              </w:rPr>
            </w:pPr>
          </w:p>
          <w:p w:rsidR="00DF1CD0" w:rsidRDefault="00E11052">
            <w:pPr>
              <w:spacing w:before="120" w:after="120"/>
              <w:rPr>
                <w:rFonts w:cs="Times"/>
                <w:b/>
                <w:sz w:val="20"/>
                <w:highlight w:val="green"/>
              </w:rPr>
            </w:pPr>
            <w:r>
              <w:rPr>
                <w:rFonts w:cs="Times"/>
                <w:b/>
                <w:sz w:val="20"/>
                <w:highlight w:val="green"/>
              </w:rPr>
              <w:t>Agreement</w:t>
            </w:r>
          </w:p>
          <w:p w:rsidR="00DF1CD0" w:rsidRDefault="00E11052">
            <w:pPr>
              <w:spacing w:before="120" w:after="120"/>
              <w:rPr>
                <w:rFonts w:cs="Times"/>
                <w:sz w:val="20"/>
              </w:rPr>
            </w:pPr>
            <w:r>
              <w:rPr>
                <w:rFonts w:cs="Times"/>
                <w:sz w:val="20"/>
              </w:rPr>
              <w:t>N is a configured number of PRBs, where the CU configures N</w:t>
            </w:r>
          </w:p>
          <w:p w:rsidR="00DF1CD0" w:rsidRDefault="00E11052">
            <w:pPr>
              <w:pStyle w:val="af1"/>
              <w:numPr>
                <w:ilvl w:val="0"/>
                <w:numId w:val="8"/>
              </w:numPr>
              <w:spacing w:after="120"/>
              <w:rPr>
                <w:rFonts w:cs="Times"/>
                <w:sz w:val="20"/>
                <w:szCs w:val="20"/>
              </w:rPr>
            </w:pPr>
            <w:r>
              <w:rPr>
                <w:rFonts w:cs="Times"/>
                <w:sz w:val="20"/>
                <w:szCs w:val="20"/>
              </w:rPr>
              <w:t xml:space="preserve">N = {2, 4, 8, </w:t>
            </w:r>
            <w:r>
              <w:rPr>
                <w:rFonts w:cs="Times"/>
                <w:sz w:val="20"/>
                <w:szCs w:val="20"/>
              </w:rPr>
              <w:t>16, 32, 64}</w:t>
            </w:r>
          </w:p>
          <w:p w:rsidR="00DF1CD0" w:rsidRDefault="00E11052">
            <w:pPr>
              <w:pStyle w:val="af1"/>
              <w:numPr>
                <w:ilvl w:val="0"/>
                <w:numId w:val="9"/>
              </w:numPr>
              <w:spacing w:after="120"/>
              <w:rPr>
                <w:rFonts w:cs="Times"/>
                <w:sz w:val="20"/>
                <w:szCs w:val="20"/>
              </w:rPr>
            </w:pPr>
            <w:r>
              <w:rPr>
                <w:rFonts w:cs="Times"/>
                <w:sz w:val="20"/>
                <w:szCs w:val="20"/>
              </w:rPr>
              <w:t>FFS: Value(s) of N in case of multiple configured BWPs at the IAB-MT</w:t>
            </w:r>
          </w:p>
          <w:p w:rsidR="00DF1CD0" w:rsidRDefault="00E11052">
            <w:pPr>
              <w:pStyle w:val="af1"/>
              <w:numPr>
                <w:ilvl w:val="0"/>
                <w:numId w:val="9"/>
              </w:numPr>
              <w:spacing w:after="120"/>
              <w:rPr>
                <w:rFonts w:cs="Times"/>
                <w:sz w:val="20"/>
                <w:szCs w:val="20"/>
              </w:rPr>
            </w:pPr>
            <w:r>
              <w:rPr>
                <w:rFonts w:cs="Times"/>
                <w:sz w:val="20"/>
                <w:szCs w:val="20"/>
              </w:rPr>
              <w:t xml:space="preserve">This agreement does not revert any existing RAN1 agreement </w:t>
            </w:r>
          </w:p>
          <w:p w:rsidR="00DF1CD0" w:rsidRDefault="00DF1CD0">
            <w:pPr>
              <w:spacing w:before="120" w:after="120"/>
              <w:rPr>
                <w:rFonts w:cs="Times"/>
                <w:sz w:val="20"/>
              </w:rPr>
            </w:pPr>
          </w:p>
          <w:p w:rsidR="00DF1CD0" w:rsidRDefault="00E11052">
            <w:pPr>
              <w:spacing w:before="120" w:after="120"/>
              <w:rPr>
                <w:rFonts w:cs="Times"/>
                <w:b/>
                <w:sz w:val="20"/>
                <w:highlight w:val="green"/>
              </w:rPr>
            </w:pPr>
            <w:r>
              <w:rPr>
                <w:rFonts w:cs="Times"/>
                <w:b/>
                <w:sz w:val="20"/>
                <w:highlight w:val="green"/>
              </w:rPr>
              <w:t>Agreement</w:t>
            </w:r>
          </w:p>
          <w:p w:rsidR="00DF1CD0" w:rsidRDefault="00E11052">
            <w:pPr>
              <w:pStyle w:val="af1"/>
              <w:spacing w:after="120"/>
              <w:ind w:left="0"/>
              <w:rPr>
                <w:rFonts w:cs="Times"/>
                <w:sz w:val="20"/>
                <w:szCs w:val="20"/>
              </w:rPr>
            </w:pPr>
            <w:r>
              <w:rPr>
                <w:rFonts w:cs="Times"/>
                <w:sz w:val="20"/>
                <w:szCs w:val="20"/>
              </w:rPr>
              <w:t>For a given RB set at a symbol, if Rel-17 frequency domain H/S/NA configuration is not provided, the Rel</w:t>
            </w:r>
            <w:r>
              <w:rPr>
                <w:rFonts w:cs="Times"/>
                <w:sz w:val="20"/>
                <w:szCs w:val="20"/>
              </w:rPr>
              <w:t>-16 time domain H/S/NA is applied</w:t>
            </w:r>
          </w:p>
          <w:p w:rsidR="00DF1CD0" w:rsidRDefault="00DF1CD0">
            <w:pPr>
              <w:spacing w:before="120" w:after="120"/>
              <w:rPr>
                <w:rFonts w:cs="Times"/>
                <w:sz w:val="20"/>
              </w:rPr>
            </w:pPr>
          </w:p>
          <w:p w:rsidR="00DF1CD0" w:rsidRDefault="00E11052">
            <w:pPr>
              <w:spacing w:before="120" w:after="120"/>
              <w:rPr>
                <w:rFonts w:cs="Times"/>
                <w:b/>
                <w:sz w:val="20"/>
                <w:highlight w:val="green"/>
              </w:rPr>
            </w:pPr>
            <w:r>
              <w:rPr>
                <w:rFonts w:cs="Times"/>
                <w:b/>
                <w:sz w:val="20"/>
                <w:highlight w:val="green"/>
              </w:rPr>
              <w:t>Agreement</w:t>
            </w:r>
          </w:p>
          <w:p w:rsidR="00DF1CD0" w:rsidRDefault="00E11052">
            <w:pPr>
              <w:spacing w:before="120" w:after="120"/>
              <w:rPr>
                <w:rFonts w:cs="Times"/>
                <w:bCs/>
                <w:sz w:val="20"/>
              </w:rPr>
            </w:pPr>
            <w:r>
              <w:rPr>
                <w:rFonts w:cs="Times"/>
                <w:bCs/>
                <w:sz w:val="20"/>
              </w:rPr>
              <w:t>A Reference SCS is configured for frequency domain H/S/NA configuration.</w:t>
            </w:r>
          </w:p>
          <w:p w:rsidR="00DF1CD0" w:rsidRDefault="00DF1CD0">
            <w:pPr>
              <w:spacing w:before="120" w:after="120"/>
              <w:rPr>
                <w:sz w:val="20"/>
              </w:rPr>
            </w:pPr>
          </w:p>
        </w:tc>
      </w:tr>
    </w:tbl>
    <w:p w:rsidR="00DF1CD0" w:rsidRDefault="00DF1CD0">
      <w:pPr>
        <w:spacing w:beforeLines="0" w:afterLines="0" w:line="259" w:lineRule="auto"/>
        <w:rPr>
          <w:sz w:val="20"/>
        </w:rPr>
      </w:pPr>
    </w:p>
    <w:p w:rsidR="00DF1CD0" w:rsidRDefault="00E11052">
      <w:pPr>
        <w:spacing w:beforeLines="0" w:afterLines="0" w:line="259" w:lineRule="auto"/>
        <w:rPr>
          <w:bCs/>
          <w:sz w:val="20"/>
        </w:rPr>
      </w:pPr>
      <w:r>
        <w:rPr>
          <w:sz w:val="20"/>
        </w:rPr>
        <w:t xml:space="preserve">According to above agreements, it was agreed that </w:t>
      </w:r>
      <w:r>
        <w:rPr>
          <w:rFonts w:hint="eastAsia"/>
          <w:sz w:val="20"/>
        </w:rPr>
        <w:t>t</w:t>
      </w:r>
      <w:r>
        <w:rPr>
          <w:rFonts w:cs="Times"/>
          <w:bCs/>
          <w:sz w:val="20"/>
        </w:rPr>
        <w:t>he semi-static configuration of H/S/NA resource type in frequency domain is provided</w:t>
      </w:r>
      <w:r>
        <w:rPr>
          <w:rFonts w:cs="Times"/>
          <w:bCs/>
          <w:sz w:val="20"/>
        </w:rPr>
        <w:t xml:space="preserve"> per RB set, per D/U/F resource type within a slot</w:t>
      </w:r>
      <w:r>
        <w:rPr>
          <w:sz w:val="20"/>
        </w:rPr>
        <w:t xml:space="preserve">. </w:t>
      </w:r>
      <w:r>
        <w:rPr>
          <w:rFonts w:hint="eastAsia"/>
          <w:sz w:val="20"/>
        </w:rPr>
        <w:t xml:space="preserve">N is a configured number of PRBs which can be used to determine the RB set. </w:t>
      </w:r>
      <w:r>
        <w:rPr>
          <w:sz w:val="20"/>
        </w:rPr>
        <w:t xml:space="preserve">However, there are still </w:t>
      </w:r>
      <w:r>
        <w:rPr>
          <w:rFonts w:hint="eastAsia"/>
          <w:sz w:val="20"/>
        </w:rPr>
        <w:t xml:space="preserve">one FFS point </w:t>
      </w:r>
      <w:r>
        <w:rPr>
          <w:sz w:val="20"/>
        </w:rPr>
        <w:t xml:space="preserve">to be handled, </w:t>
      </w:r>
      <w:r>
        <w:rPr>
          <w:rFonts w:hint="eastAsia"/>
          <w:sz w:val="20"/>
        </w:rPr>
        <w:t>i.e.</w:t>
      </w:r>
      <w:r>
        <w:rPr>
          <w:sz w:val="20"/>
        </w:rPr>
        <w:t xml:space="preserve">, </w:t>
      </w:r>
      <w:r>
        <w:rPr>
          <w:rFonts w:cs="Times"/>
          <w:sz w:val="20"/>
        </w:rPr>
        <w:t>FFS Value(s) of N in case of multiple configured BWPs at the IAB-</w:t>
      </w:r>
      <w:r>
        <w:rPr>
          <w:rFonts w:cs="Times" w:hint="eastAsia"/>
          <w:sz w:val="20"/>
        </w:rPr>
        <w:t>nod</w:t>
      </w:r>
      <w:r>
        <w:rPr>
          <w:rFonts w:cs="Times" w:hint="eastAsia"/>
          <w:sz w:val="20"/>
        </w:rPr>
        <w:t xml:space="preserve">e </w:t>
      </w:r>
      <w:r>
        <w:rPr>
          <w:rFonts w:cs="Times"/>
          <w:sz w:val="20"/>
        </w:rPr>
        <w:t>M</w:t>
      </w:r>
      <w:r>
        <w:rPr>
          <w:rFonts w:cs="Times" w:hint="eastAsia"/>
          <w:sz w:val="20"/>
        </w:rPr>
        <w:t>T.</w:t>
      </w:r>
    </w:p>
    <w:p w:rsidR="00DF1CD0" w:rsidRDefault="00E11052">
      <w:pPr>
        <w:spacing w:beforeLines="0" w:afterLines="0" w:line="259" w:lineRule="auto"/>
        <w:rPr>
          <w:rFonts w:cs="Times"/>
          <w:bCs/>
          <w:sz w:val="20"/>
        </w:rPr>
      </w:pPr>
      <w:r>
        <w:rPr>
          <w:rFonts w:hint="eastAsia"/>
          <w:bCs/>
          <w:sz w:val="20"/>
        </w:rPr>
        <w:lastRenderedPageBreak/>
        <w:t xml:space="preserve">It has been agreed that value of N </w:t>
      </w:r>
      <w:r>
        <w:rPr>
          <w:rFonts w:cs="Times" w:hint="eastAsia"/>
          <w:bCs/>
          <w:sz w:val="20"/>
        </w:rPr>
        <w:t>is configured by CU, and companies have divergent views whether the value of N is related to RBG corresponding to configured BWP(s) of IAB-node MT (i.e. RBG_MT). In our view, it is not necessary to further specify t</w:t>
      </w:r>
      <w:r>
        <w:rPr>
          <w:rFonts w:cs="Times" w:hint="eastAsia"/>
          <w:bCs/>
          <w:sz w:val="20"/>
        </w:rPr>
        <w:t>he coupling between N and RBG_MT, and by this way, it is not needed to further discuss the value of N in case of multiple configured BWPs at the IAB-node MT and the normative effort can be saved. On the other hand, the following issues would come if such c</w:t>
      </w:r>
      <w:r>
        <w:rPr>
          <w:rFonts w:cs="Times" w:hint="eastAsia"/>
          <w:bCs/>
          <w:sz w:val="20"/>
        </w:rPr>
        <w:t>oupling relationship were supported:</w:t>
      </w:r>
    </w:p>
    <w:p w:rsidR="00DF1CD0" w:rsidRDefault="00E11052">
      <w:pPr>
        <w:numPr>
          <w:ilvl w:val="0"/>
          <w:numId w:val="10"/>
        </w:numPr>
        <w:spacing w:beforeLines="0" w:afterLines="0" w:line="259" w:lineRule="auto"/>
        <w:rPr>
          <w:rFonts w:cs="Times"/>
          <w:bCs/>
          <w:sz w:val="20"/>
        </w:rPr>
      </w:pPr>
      <w:r>
        <w:rPr>
          <w:rFonts w:cs="Times" w:hint="eastAsia"/>
          <w:bCs/>
          <w:sz w:val="20"/>
        </w:rPr>
        <w:t>RB set are configured semi-statically by CU, while active BWP at IAB-node MT can be dynami</w:t>
      </w:r>
      <w:r w:rsidR="00431105">
        <w:rPr>
          <w:rFonts w:cs="Times" w:hint="eastAsia"/>
          <w:bCs/>
          <w:sz w:val="20"/>
        </w:rPr>
        <w:t>cally switched, and the two can</w:t>
      </w:r>
      <w:r>
        <w:rPr>
          <w:rFonts w:cs="Times" w:hint="eastAsia"/>
          <w:bCs/>
          <w:sz w:val="20"/>
        </w:rPr>
        <w:t xml:space="preserve">not match exactly unless RB set changes dynamically with BWP switching, but this is impossible </w:t>
      </w:r>
      <w:r>
        <w:rPr>
          <w:rFonts w:cs="Times" w:hint="eastAsia"/>
          <w:bCs/>
          <w:sz w:val="20"/>
        </w:rPr>
        <w:t>and unnecessary.</w:t>
      </w:r>
    </w:p>
    <w:p w:rsidR="00DF1CD0" w:rsidRDefault="00E11052">
      <w:pPr>
        <w:numPr>
          <w:ilvl w:val="0"/>
          <w:numId w:val="10"/>
        </w:numPr>
        <w:spacing w:beforeLines="0" w:afterLines="0" w:line="259" w:lineRule="auto"/>
      </w:pPr>
      <w:r>
        <w:rPr>
          <w:rFonts w:cs="Times" w:hint="eastAsia"/>
          <w:bCs/>
          <w:sz w:val="20"/>
        </w:rPr>
        <w:t>The SCS(s) configured for the IAB-node MT serving cell and IAB-node DU cell may be completely different.</w:t>
      </w:r>
    </w:p>
    <w:p w:rsidR="00DF1CD0" w:rsidRDefault="00E11052">
      <w:pPr>
        <w:numPr>
          <w:ilvl w:val="0"/>
          <w:numId w:val="10"/>
        </w:numPr>
        <w:spacing w:beforeLines="0" w:afterLines="0" w:line="259" w:lineRule="auto"/>
      </w:pPr>
      <w:r>
        <w:rPr>
          <w:rFonts w:cs="Times" w:hint="eastAsia"/>
          <w:bCs/>
          <w:sz w:val="20"/>
        </w:rPr>
        <w:t>If the value of N is related to RBG corresponding to configured BWP(s) of IAB-node MT, we do not see obvious benefits, and unnecessary</w:t>
      </w:r>
      <w:r>
        <w:rPr>
          <w:rFonts w:cs="Times" w:hint="eastAsia"/>
          <w:bCs/>
          <w:sz w:val="20"/>
        </w:rPr>
        <w:t xml:space="preserve"> standardization complexity will be introduced, such as, the value of N in case of multiple configured BWPs at the IAB-node MT, the value of N for BWP switching, how to consider the SCS of IAB-node MT and DU.</w:t>
      </w:r>
      <w:r>
        <w:rPr>
          <w:rFonts w:hint="eastAsia"/>
        </w:rPr>
        <w:t xml:space="preserve"> </w:t>
      </w:r>
    </w:p>
    <w:p w:rsidR="00DF1CD0" w:rsidRDefault="00E11052">
      <w:pPr>
        <w:spacing w:beforeLines="0" w:afterLines="0" w:line="259" w:lineRule="auto"/>
      </w:pPr>
      <w:r>
        <w:rPr>
          <w:rFonts w:cs="Times" w:hint="eastAsia"/>
          <w:bCs/>
          <w:sz w:val="20"/>
        </w:rPr>
        <w:t xml:space="preserve">Base on the above analysis, the configuration </w:t>
      </w:r>
      <w:r>
        <w:rPr>
          <w:rFonts w:cs="Times" w:hint="eastAsia"/>
          <w:bCs/>
          <w:sz w:val="20"/>
        </w:rPr>
        <w:t>of N can be up to CU</w:t>
      </w:r>
      <w:r>
        <w:rPr>
          <w:rFonts w:cs="Times"/>
          <w:bCs/>
          <w:sz w:val="20"/>
        </w:rPr>
        <w:t>’</w:t>
      </w:r>
      <w:r>
        <w:rPr>
          <w:rFonts w:cs="Times" w:hint="eastAsia"/>
          <w:bCs/>
          <w:sz w:val="20"/>
        </w:rPr>
        <w:t xml:space="preserve">s implementation, and the factors, such as </w:t>
      </w:r>
      <w:r w:rsidR="00431105">
        <w:rPr>
          <w:rFonts w:cs="Times" w:hint="eastAsia"/>
          <w:bCs/>
          <w:sz w:val="20"/>
        </w:rPr>
        <w:t>RBG_MT, the reference SCS of DU,</w:t>
      </w:r>
      <w:r w:rsidR="00431105">
        <w:rPr>
          <w:rFonts w:cs="Times"/>
          <w:bCs/>
          <w:sz w:val="20"/>
        </w:rPr>
        <w:t xml:space="preserve"> </w:t>
      </w:r>
      <w:r>
        <w:rPr>
          <w:rFonts w:cs="Times" w:hint="eastAsia"/>
          <w:bCs/>
          <w:sz w:val="20"/>
        </w:rPr>
        <w:t>.etc</w:t>
      </w:r>
      <w:r w:rsidR="00431105">
        <w:rPr>
          <w:rFonts w:cs="Times"/>
          <w:bCs/>
          <w:sz w:val="20"/>
        </w:rPr>
        <w:t>,</w:t>
      </w:r>
      <w:r>
        <w:rPr>
          <w:rFonts w:cs="Times" w:hint="eastAsia"/>
          <w:bCs/>
          <w:sz w:val="20"/>
        </w:rPr>
        <w:t xml:space="preserve"> can be considered when CU configures value of N.</w:t>
      </w:r>
    </w:p>
    <w:p w:rsidR="00DF1CD0" w:rsidRDefault="00E11052">
      <w:pPr>
        <w:pStyle w:val="YJ-Observation"/>
        <w:spacing w:before="120" w:after="120"/>
        <w:rPr>
          <w:lang w:val="en-US" w:eastAsia="zh-CN"/>
        </w:rPr>
      </w:pPr>
      <w:bookmarkStart w:id="0" w:name="_Toc83923096"/>
      <w:r>
        <w:rPr>
          <w:rFonts w:hint="eastAsia"/>
          <w:lang w:val="en-US" w:eastAsia="zh-CN"/>
        </w:rPr>
        <w:t xml:space="preserve">The benefit </w:t>
      </w:r>
      <w:r>
        <w:rPr>
          <w:rFonts w:hint="eastAsia"/>
        </w:rPr>
        <w:t xml:space="preserve">to </w:t>
      </w:r>
      <w:r>
        <w:rPr>
          <w:rFonts w:hint="eastAsia"/>
          <w:lang w:val="en-US" w:eastAsia="zh-CN"/>
        </w:rPr>
        <w:t xml:space="preserve">specify </w:t>
      </w:r>
      <w:r>
        <w:rPr>
          <w:rFonts w:hint="eastAsia"/>
        </w:rPr>
        <w:t xml:space="preserve">the relationship between N and </w:t>
      </w:r>
      <w:r>
        <w:rPr>
          <w:rFonts w:hint="eastAsia"/>
          <w:lang w:val="en-US" w:eastAsia="zh-CN"/>
        </w:rPr>
        <w:t xml:space="preserve">the </w:t>
      </w:r>
      <w:r>
        <w:rPr>
          <w:rFonts w:hint="eastAsia"/>
        </w:rPr>
        <w:t>RGB</w:t>
      </w:r>
      <w:r>
        <w:rPr>
          <w:rFonts w:hint="eastAsia"/>
          <w:lang w:val="en-US" w:eastAsia="zh-CN"/>
        </w:rPr>
        <w:t>_MT is not clear, but arising a lot of foll</w:t>
      </w:r>
      <w:r>
        <w:rPr>
          <w:rFonts w:hint="eastAsia"/>
          <w:lang w:val="en-US" w:eastAsia="zh-CN"/>
        </w:rPr>
        <w:t>owing issues and normative works.</w:t>
      </w:r>
      <w:bookmarkEnd w:id="0"/>
      <w:r>
        <w:rPr>
          <w:lang w:val="en-US" w:eastAsia="zh-CN"/>
        </w:rPr>
        <w:t xml:space="preserve">  </w:t>
      </w:r>
    </w:p>
    <w:p w:rsidR="00DF1CD0" w:rsidRDefault="00E11052">
      <w:pPr>
        <w:pStyle w:val="YJ-Proposal"/>
        <w:spacing w:before="120" w:after="120"/>
        <w:rPr>
          <w:lang w:val="en-US" w:eastAsia="zh-CN"/>
        </w:rPr>
      </w:pPr>
      <w:bookmarkStart w:id="1" w:name="_Toc22805"/>
      <w:bookmarkStart w:id="2" w:name="_Toc5087"/>
      <w:bookmarkStart w:id="3" w:name="_Toc3186"/>
      <w:bookmarkStart w:id="4" w:name="_Toc31995"/>
      <w:bookmarkStart w:id="5" w:name="_Toc2599"/>
      <w:bookmarkStart w:id="6" w:name="_Toc14700"/>
      <w:bookmarkStart w:id="7" w:name="_Toc79164569"/>
      <w:bookmarkStart w:id="8" w:name="_Toc28263"/>
      <w:bookmarkStart w:id="9" w:name="_Toc324"/>
      <w:bookmarkStart w:id="10" w:name="_Toc83923102"/>
      <w:r>
        <w:rPr>
          <w:rFonts w:hint="eastAsia"/>
          <w:lang w:val="en-US" w:eastAsia="zh-CN"/>
        </w:rPr>
        <w:t>N is a number of PRBs configured per DU cell by the CU</w:t>
      </w:r>
      <w:bookmarkEnd w:id="1"/>
      <w:bookmarkEnd w:id="2"/>
      <w:bookmarkEnd w:id="3"/>
      <w:r>
        <w:rPr>
          <w:rFonts w:hint="eastAsia"/>
          <w:lang w:val="en-US" w:eastAsia="zh-CN"/>
        </w:rPr>
        <w:t xml:space="preserve"> regardless single or multiple BWPs are configured at the IAB MT.</w:t>
      </w:r>
      <w:bookmarkEnd w:id="10"/>
    </w:p>
    <w:p w:rsidR="00DF1CD0" w:rsidRDefault="00E11052">
      <w:pPr>
        <w:spacing w:beforeLines="0" w:afterLines="0" w:line="259" w:lineRule="auto"/>
      </w:pPr>
      <w:bookmarkStart w:id="11" w:name="_Toc18593"/>
      <w:bookmarkStart w:id="12" w:name="_Toc9081"/>
      <w:r>
        <w:rPr>
          <w:rFonts w:cs="Times" w:hint="eastAsia"/>
          <w:bCs/>
          <w:sz w:val="20"/>
        </w:rPr>
        <w:t>It is agreed that H/S/NA resource type in frequency domain is provided per D/U/F resource type withi</w:t>
      </w:r>
      <w:r>
        <w:rPr>
          <w:rFonts w:cs="Times" w:hint="eastAsia"/>
          <w:bCs/>
          <w:sz w:val="20"/>
        </w:rPr>
        <w:t>n a slot in time domain, and i.e., H/S/NA resource type in frequency domain is related to D/U/F resource type in time domain. From our point of view, it is only agreed that the H/S/NA configuration can be extended to frequency domain, and the D/U/F resourc</w:t>
      </w:r>
      <w:r>
        <w:rPr>
          <w:rFonts w:cs="Times" w:hint="eastAsia"/>
          <w:bCs/>
          <w:sz w:val="20"/>
        </w:rPr>
        <w:t>e type configuration should be the same as Rel-16 D/U/F configuration. And it is reasonable that the SCS defined in Rel-16 is reused to determine the D/U/F resource type for both Rel-16 time domain H/S/NA configuration and Rel-17 frequency domain H/S/NA co</w:t>
      </w:r>
      <w:r>
        <w:rPr>
          <w:rFonts w:cs="Times" w:hint="eastAsia"/>
          <w:bCs/>
          <w:sz w:val="20"/>
        </w:rPr>
        <w:t>nfiguration.</w:t>
      </w:r>
      <w:bookmarkEnd w:id="11"/>
    </w:p>
    <w:p w:rsidR="00DF1CD0" w:rsidRDefault="00E11052">
      <w:pPr>
        <w:pStyle w:val="YJ-Proposal"/>
        <w:spacing w:before="120" w:after="120"/>
      </w:pPr>
      <w:bookmarkStart w:id="13" w:name="_Toc17019"/>
      <w:bookmarkStart w:id="14" w:name="_Toc4770"/>
      <w:bookmarkStart w:id="15" w:name="_Toc12017"/>
      <w:bookmarkStart w:id="16" w:name="_Toc83923103"/>
      <w:r>
        <w:rPr>
          <w:rFonts w:hint="eastAsia"/>
          <w:lang w:val="en-US" w:eastAsia="zh-CN"/>
        </w:rPr>
        <w:t>For semi-static frequency domain H/S/NA configuration:</w:t>
      </w:r>
      <w:bookmarkEnd w:id="16"/>
    </w:p>
    <w:p w:rsidR="00DF1CD0" w:rsidRDefault="00E11052">
      <w:pPr>
        <w:pStyle w:val="sub-proposal"/>
        <w:spacing w:before="120" w:after="120"/>
        <w:ind w:left="822" w:hanging="402"/>
        <w:rPr>
          <w:rFonts w:cs="Times"/>
          <w:b w:val="0"/>
          <w:i w:val="0"/>
          <w:iCs w:val="0"/>
          <w:lang w:val="en-US" w:eastAsia="zh-CN"/>
        </w:rPr>
      </w:pPr>
      <w:bookmarkStart w:id="17" w:name="_Toc83923104"/>
      <w:r>
        <w:rPr>
          <w:rFonts w:hint="eastAsia"/>
          <w:lang w:val="en-US" w:eastAsia="zh-CN"/>
        </w:rPr>
        <w:t>The reference SCS defined in Rel-17 is used to determine the frequency domain granularity, i.e., per RB set, of the frequency domain H/S/NA configuration.</w:t>
      </w:r>
      <w:bookmarkEnd w:id="17"/>
    </w:p>
    <w:p w:rsidR="00DF1CD0" w:rsidRDefault="00E11052">
      <w:pPr>
        <w:pStyle w:val="sub-proposal"/>
        <w:spacing w:before="120" w:after="120"/>
        <w:ind w:left="822" w:hanging="402"/>
        <w:rPr>
          <w:rFonts w:cs="Times"/>
          <w:b w:val="0"/>
          <w:i w:val="0"/>
          <w:iCs w:val="0"/>
          <w:lang w:val="en-US" w:eastAsia="zh-CN"/>
        </w:rPr>
      </w:pPr>
      <w:bookmarkStart w:id="18" w:name="_Toc83923105"/>
      <w:r>
        <w:rPr>
          <w:rFonts w:hint="eastAsia"/>
          <w:lang w:val="en-US" w:eastAsia="zh-CN"/>
        </w:rPr>
        <w:t>The SCS defined in Rel-16 for the</w:t>
      </w:r>
      <w:r>
        <w:rPr>
          <w:rFonts w:hint="eastAsia"/>
          <w:lang w:val="en-US" w:eastAsia="zh-CN"/>
        </w:rPr>
        <w:t xml:space="preserve"> D/F/U configuration is reused to determine the time domain granularity, i.e., per D/U/F resource type within a slot, of the frequency domain H/S/NA configuration.</w:t>
      </w:r>
      <w:bookmarkEnd w:id="13"/>
      <w:bookmarkEnd w:id="14"/>
      <w:bookmarkEnd w:id="15"/>
      <w:bookmarkEnd w:id="18"/>
    </w:p>
    <w:p w:rsidR="00DF1CD0" w:rsidRDefault="00E11052">
      <w:pPr>
        <w:spacing w:beforeLines="0" w:afterLines="0" w:line="259" w:lineRule="auto"/>
        <w:rPr>
          <w:rFonts w:cs="Times"/>
          <w:bCs/>
          <w:sz w:val="20"/>
        </w:rPr>
      </w:pPr>
      <w:r>
        <w:rPr>
          <w:rFonts w:cs="Times" w:hint="eastAsia"/>
          <w:bCs/>
          <w:sz w:val="20"/>
        </w:rPr>
        <w:t>I</w:t>
      </w:r>
      <w:r>
        <w:rPr>
          <w:rFonts w:cs="Times" w:hint="eastAsia"/>
          <w:bCs/>
          <w:sz w:val="20"/>
        </w:rPr>
        <w:t>t was agreed that</w:t>
      </w:r>
      <w:r>
        <w:rPr>
          <w:rFonts w:cs="Times" w:hint="eastAsia"/>
          <w:bCs/>
          <w:sz w:val="20"/>
        </w:rPr>
        <w:t xml:space="preserve"> a reference SCS is configured for frequency domain H/S/NA configuration. </w:t>
      </w:r>
      <w:bookmarkEnd w:id="4"/>
      <w:bookmarkEnd w:id="5"/>
      <w:bookmarkEnd w:id="6"/>
      <w:bookmarkEnd w:id="7"/>
      <w:bookmarkEnd w:id="8"/>
      <w:bookmarkEnd w:id="9"/>
      <w:r>
        <w:rPr>
          <w:rFonts w:cs="Times" w:hint="eastAsia"/>
          <w:bCs/>
          <w:sz w:val="20"/>
        </w:rPr>
        <w:t>However, it is not sufficient to define the RB sets only by the reference SCS, and at least the starting frequency location and bandwidth corresponding to the carrier including the RB sets need to be known first. I.e., the RB sets should be configured base</w:t>
      </w:r>
      <w:r>
        <w:rPr>
          <w:rFonts w:cs="Times" w:hint="eastAsia"/>
          <w:bCs/>
          <w:sz w:val="20"/>
        </w:rPr>
        <w:t xml:space="preserve">d on one reference carrier. </w:t>
      </w:r>
    </w:p>
    <w:p w:rsidR="00DF1CD0" w:rsidRDefault="00E11052">
      <w:pPr>
        <w:pStyle w:val="YJ-Observation"/>
        <w:spacing w:before="120" w:after="120"/>
        <w:rPr>
          <w:rFonts w:cs="Times"/>
          <w:b w:val="0"/>
          <w:i w:val="0"/>
          <w:iCs w:val="0"/>
          <w:lang w:val="en-US" w:eastAsia="zh-CN"/>
        </w:rPr>
      </w:pPr>
      <w:r>
        <w:t xml:space="preserve"> </w:t>
      </w:r>
      <w:bookmarkStart w:id="19" w:name="_Toc83923097"/>
      <w:r>
        <w:rPr>
          <w:rFonts w:hint="eastAsia"/>
          <w:lang w:val="en-US" w:eastAsia="zh-CN"/>
        </w:rPr>
        <w:t xml:space="preserve">In addition to a reference SCS, a reference carrier also needs to be defined </w:t>
      </w:r>
      <w:r>
        <w:rPr>
          <w:rFonts w:cs="Times"/>
        </w:rPr>
        <w:t>for frequency domain H/S/NA configuration</w:t>
      </w:r>
      <w:r>
        <w:rPr>
          <w:rFonts w:cs="Times" w:hint="eastAsia"/>
          <w:lang w:val="en-US" w:eastAsia="zh-CN"/>
        </w:rPr>
        <w:t>, e.g., at least the starting frequency location and bandwidth corresponding to the carrier including the RB</w:t>
      </w:r>
      <w:r>
        <w:rPr>
          <w:rFonts w:cs="Times" w:hint="eastAsia"/>
          <w:lang w:val="en-US" w:eastAsia="zh-CN"/>
        </w:rPr>
        <w:t xml:space="preserve"> sets need to be known first.</w:t>
      </w:r>
      <w:bookmarkEnd w:id="19"/>
    </w:p>
    <w:p w:rsidR="00DF1CD0" w:rsidRDefault="00E11052">
      <w:pPr>
        <w:spacing w:beforeLines="0" w:afterLines="0" w:line="259" w:lineRule="auto"/>
        <w:rPr>
          <w:rFonts w:cs="Times"/>
          <w:bCs/>
          <w:sz w:val="20"/>
        </w:rPr>
      </w:pPr>
      <w:r>
        <w:rPr>
          <w:rFonts w:cs="Times" w:hint="eastAsia"/>
          <w:bCs/>
          <w:sz w:val="20"/>
        </w:rPr>
        <w:t xml:space="preserve">In NR, </w:t>
      </w:r>
      <w:r>
        <w:rPr>
          <w:rFonts w:cs="Times" w:hint="eastAsia"/>
          <w:bCs/>
          <w:sz w:val="20"/>
        </w:rPr>
        <w:t xml:space="preserve">multiple </w:t>
      </w:r>
      <w:r>
        <w:t>SCS-specific carriers</w:t>
      </w:r>
      <w:r>
        <w:rPr>
          <w:rFonts w:hint="eastAsia"/>
        </w:rPr>
        <w:t xml:space="preserve"> </w:t>
      </w:r>
      <w:r>
        <w:rPr>
          <w:rFonts w:cs="Times" w:hint="eastAsia"/>
          <w:bCs/>
          <w:sz w:val="20"/>
        </w:rPr>
        <w:t>can be configured</w:t>
      </w:r>
      <w:r>
        <w:rPr>
          <w:rFonts w:cs="Times" w:hint="eastAsia"/>
          <w:bCs/>
          <w:sz w:val="20"/>
        </w:rPr>
        <w:t xml:space="preserve"> for one DU cell</w:t>
      </w:r>
      <w:r>
        <w:rPr>
          <w:rFonts w:cs="Times" w:hint="eastAsia"/>
          <w:bCs/>
          <w:sz w:val="20"/>
        </w:rPr>
        <w:t xml:space="preserve">, as discussed in our contribution [2]. Therefore, for an IAB-node DU cell, </w:t>
      </w:r>
      <w:r>
        <w:rPr>
          <w:rFonts w:cs="Times" w:hint="eastAsia"/>
          <w:bCs/>
          <w:sz w:val="20"/>
        </w:rPr>
        <w:t xml:space="preserve">it is straightforward to </w:t>
      </w:r>
      <w:r>
        <w:rPr>
          <w:rFonts w:cs="Times" w:hint="eastAsia"/>
          <w:bCs/>
          <w:sz w:val="20"/>
        </w:rPr>
        <w:t>use the carrier corresponding to the reference SCS</w:t>
      </w:r>
      <w:r>
        <w:rPr>
          <w:rFonts w:cs="Times" w:hint="eastAsia"/>
          <w:bCs/>
          <w:sz w:val="20"/>
        </w:rPr>
        <w:t xml:space="preserve"> </w:t>
      </w:r>
      <w:r>
        <w:rPr>
          <w:rFonts w:cs="Times" w:hint="eastAsia"/>
          <w:bCs/>
          <w:sz w:val="20"/>
        </w:rPr>
        <w:t xml:space="preserve">in </w:t>
      </w:r>
      <w:r>
        <w:rPr>
          <w:rFonts w:cs="Times" w:hint="eastAsia"/>
          <w:bCs/>
          <w:sz w:val="20"/>
        </w:rPr>
        <w:t>the carrier list</w:t>
      </w:r>
      <w:r>
        <w:rPr>
          <w:rFonts w:cs="Times" w:hint="eastAsia"/>
          <w:bCs/>
          <w:sz w:val="20"/>
        </w:rPr>
        <w:t xml:space="preserve"> as the reference carrier for </w:t>
      </w:r>
      <w:r>
        <w:rPr>
          <w:rFonts w:cs="Times"/>
          <w:bCs/>
          <w:sz w:val="20"/>
        </w:rPr>
        <w:t>frequency domain H/S/NA configuration</w:t>
      </w:r>
      <w:r>
        <w:rPr>
          <w:rFonts w:cs="Times" w:hint="eastAsia"/>
          <w:bCs/>
          <w:sz w:val="20"/>
        </w:rPr>
        <w:t>.</w:t>
      </w:r>
      <w:bookmarkEnd w:id="12"/>
    </w:p>
    <w:p w:rsidR="00DF1CD0" w:rsidRDefault="00E11052">
      <w:pPr>
        <w:pStyle w:val="YJ-Proposal"/>
        <w:spacing w:before="120" w:after="120"/>
        <w:rPr>
          <w:lang w:val="en-US"/>
        </w:rPr>
      </w:pPr>
      <w:bookmarkStart w:id="20" w:name="_Toc19470"/>
      <w:bookmarkStart w:id="21" w:name="_Toc7949"/>
      <w:bookmarkStart w:id="22" w:name="_Toc13764"/>
      <w:bookmarkStart w:id="23" w:name="_Toc168"/>
      <w:bookmarkStart w:id="24" w:name="_Toc17694"/>
      <w:bookmarkStart w:id="25" w:name="_Toc71538424"/>
      <w:bookmarkStart w:id="26" w:name="_Toc4218"/>
      <w:bookmarkStart w:id="27" w:name="_Toc5379"/>
      <w:bookmarkStart w:id="28" w:name="_Toc2686"/>
      <w:bookmarkStart w:id="29" w:name="_Toc32414"/>
      <w:bookmarkStart w:id="30" w:name="_Toc83923106"/>
      <w:r>
        <w:rPr>
          <w:rFonts w:hint="eastAsia"/>
          <w:lang w:val="en-US" w:eastAsia="zh-CN"/>
        </w:rPr>
        <w:t>The carrier corresponding to the reference SCS in the carrier list of the IAB-node DU cell is used as the reference carrier to determine RB sets for frequency domain H/S/N</w:t>
      </w:r>
      <w:r>
        <w:rPr>
          <w:rFonts w:hint="eastAsia"/>
          <w:lang w:val="en-US" w:eastAsia="zh-CN"/>
        </w:rPr>
        <w:t>A configuration</w:t>
      </w:r>
      <w:r>
        <w:rPr>
          <w:lang w:val="en-US"/>
        </w:rPr>
        <w:t>.</w:t>
      </w:r>
      <w:bookmarkEnd w:id="20"/>
      <w:bookmarkEnd w:id="21"/>
      <w:bookmarkEnd w:id="22"/>
      <w:bookmarkEnd w:id="23"/>
      <w:bookmarkEnd w:id="24"/>
      <w:bookmarkEnd w:id="25"/>
      <w:bookmarkEnd w:id="26"/>
      <w:bookmarkEnd w:id="27"/>
      <w:bookmarkEnd w:id="28"/>
      <w:bookmarkEnd w:id="29"/>
      <w:bookmarkEnd w:id="30"/>
    </w:p>
    <w:p w:rsidR="00DF1CD0" w:rsidRDefault="00E11052">
      <w:pPr>
        <w:tabs>
          <w:tab w:val="left" w:pos="0"/>
        </w:tabs>
        <w:adjustRightInd w:val="0"/>
        <w:snapToGrid w:val="0"/>
        <w:spacing w:beforeLines="0" w:before="120" w:afterLines="0" w:after="120"/>
        <w:rPr>
          <w:bCs/>
          <w:sz w:val="20"/>
        </w:rPr>
      </w:pPr>
      <w:r>
        <w:rPr>
          <w:rFonts w:hint="eastAsia"/>
          <w:sz w:val="20"/>
        </w:rPr>
        <w:t>I</w:t>
      </w:r>
      <w:r>
        <w:rPr>
          <w:rFonts w:hint="eastAsia"/>
          <w:sz w:val="20"/>
        </w:rPr>
        <w:t>t</w:t>
      </w:r>
      <w:r>
        <w:rPr>
          <w:rFonts w:hint="eastAsia"/>
          <w:sz w:val="20"/>
        </w:rPr>
        <w:t xml:space="preserve"> is reasonable that parent node can be made aware of IAB-node DU cell H/S/NA resource configuration in frequency-domain to have a good understanding of H/S/NA resource type of an IAB-node DU cell and then make appropriated assumption abo</w:t>
      </w:r>
      <w:r>
        <w:rPr>
          <w:rFonts w:hint="eastAsia"/>
          <w:sz w:val="20"/>
        </w:rPr>
        <w:t>ut the resource availability at IAB-node MT. However, according to current specification, the parent node does not know carrier frequency information of IAB-node DU cell</w:t>
      </w:r>
      <w:r>
        <w:rPr>
          <w:rFonts w:hint="eastAsia"/>
          <w:sz w:val="20"/>
        </w:rPr>
        <w:t xml:space="preserve"> (i.e. its child node)</w:t>
      </w:r>
      <w:r>
        <w:rPr>
          <w:rFonts w:hint="eastAsia"/>
          <w:sz w:val="20"/>
        </w:rPr>
        <w:t>. Therefore,</w:t>
      </w:r>
      <w:r>
        <w:rPr>
          <w:rFonts w:hint="eastAsia"/>
          <w:sz w:val="20"/>
        </w:rPr>
        <w:t xml:space="preserve"> in addition to </w:t>
      </w:r>
      <w:r>
        <w:rPr>
          <w:rFonts w:hint="eastAsia"/>
          <w:sz w:val="20"/>
        </w:rPr>
        <w:t>the H/S/NA resource configuration in</w:t>
      </w:r>
      <w:r>
        <w:rPr>
          <w:rFonts w:hint="eastAsia"/>
          <w:sz w:val="20"/>
        </w:rPr>
        <w:t xml:space="preserve"> frequency-domain</w:t>
      </w:r>
      <w:r>
        <w:rPr>
          <w:rFonts w:hint="eastAsia"/>
          <w:sz w:val="20"/>
        </w:rPr>
        <w:t xml:space="preserve"> of </w:t>
      </w:r>
      <w:r>
        <w:rPr>
          <w:rFonts w:hint="eastAsia"/>
          <w:sz w:val="20"/>
        </w:rPr>
        <w:t>IAB-node DU cell</w:t>
      </w:r>
      <w:r>
        <w:rPr>
          <w:rFonts w:hint="eastAsia"/>
          <w:sz w:val="20"/>
        </w:rPr>
        <w:t>,</w:t>
      </w:r>
      <w:r>
        <w:rPr>
          <w:rFonts w:hint="eastAsia"/>
          <w:sz w:val="20"/>
        </w:rPr>
        <w:t xml:space="preserve"> the CU</w:t>
      </w:r>
      <w:r>
        <w:rPr>
          <w:rFonts w:hint="eastAsia"/>
          <w:sz w:val="20"/>
        </w:rPr>
        <w:t xml:space="preserve"> also needs to </w:t>
      </w:r>
      <w:r>
        <w:rPr>
          <w:rFonts w:hint="eastAsia"/>
          <w:sz w:val="20"/>
        </w:rPr>
        <w:t xml:space="preserve">indicate </w:t>
      </w:r>
      <w:r>
        <w:rPr>
          <w:rFonts w:hint="eastAsia"/>
          <w:sz w:val="20"/>
        </w:rPr>
        <w:t xml:space="preserve">carrier frequency information of the </w:t>
      </w:r>
      <w:r>
        <w:rPr>
          <w:rFonts w:hint="eastAsia"/>
          <w:sz w:val="20"/>
        </w:rPr>
        <w:t>IAB-node DU cell</w:t>
      </w:r>
      <w:r>
        <w:rPr>
          <w:rFonts w:hint="eastAsia"/>
          <w:sz w:val="20"/>
        </w:rPr>
        <w:t xml:space="preserve"> </w:t>
      </w:r>
      <w:r>
        <w:rPr>
          <w:rFonts w:hint="eastAsia"/>
          <w:sz w:val="20"/>
        </w:rPr>
        <w:t xml:space="preserve">to </w:t>
      </w:r>
      <w:r>
        <w:rPr>
          <w:rFonts w:hint="eastAsia"/>
          <w:sz w:val="20"/>
        </w:rPr>
        <w:t xml:space="preserve">its </w:t>
      </w:r>
      <w:r>
        <w:rPr>
          <w:rFonts w:hint="eastAsia"/>
          <w:sz w:val="20"/>
        </w:rPr>
        <w:t>parent node</w:t>
      </w:r>
      <w:r>
        <w:rPr>
          <w:rFonts w:hint="eastAsia"/>
          <w:sz w:val="20"/>
        </w:rPr>
        <w:t>(s)</w:t>
      </w:r>
      <w:r>
        <w:rPr>
          <w:rFonts w:hint="eastAsia"/>
          <w:sz w:val="20"/>
        </w:rPr>
        <w:t>.</w:t>
      </w:r>
    </w:p>
    <w:p w:rsidR="00DF1CD0" w:rsidRDefault="00E11052">
      <w:pPr>
        <w:pStyle w:val="YJ-Proposal"/>
        <w:spacing w:before="120" w:after="120"/>
        <w:rPr>
          <w:lang w:val="en-US"/>
        </w:rPr>
      </w:pPr>
      <w:bookmarkStart w:id="31" w:name="_Toc23461"/>
      <w:bookmarkStart w:id="32" w:name="_Toc18119"/>
      <w:bookmarkStart w:id="33" w:name="_Toc71538425"/>
      <w:bookmarkStart w:id="34" w:name="_Toc10069"/>
      <w:bookmarkStart w:id="35" w:name="_Toc22746"/>
      <w:bookmarkStart w:id="36" w:name="_Toc26829"/>
      <w:bookmarkStart w:id="37" w:name="_Toc28588"/>
      <w:bookmarkStart w:id="38" w:name="_Toc26517"/>
      <w:bookmarkStart w:id="39" w:name="_Toc83923107"/>
      <w:r>
        <w:rPr>
          <w:rFonts w:hint="eastAsia"/>
          <w:lang w:val="en-US" w:eastAsia="zh-CN"/>
        </w:rPr>
        <w:t xml:space="preserve">A parent node should be made aware of the SCS-specific carriers and frequency domain H/S/NA configuration of </w:t>
      </w:r>
      <w:r>
        <w:rPr>
          <w:rFonts w:hint="eastAsia"/>
          <w:lang w:val="en-US" w:eastAsia="zh-CN"/>
        </w:rPr>
        <w:t>its child node DU</w:t>
      </w:r>
      <w:r>
        <w:rPr>
          <w:lang w:val="en-US" w:eastAsia="zh-CN"/>
        </w:rPr>
        <w:t>’</w:t>
      </w:r>
      <w:r>
        <w:rPr>
          <w:rFonts w:hint="eastAsia"/>
          <w:lang w:val="en-US" w:eastAsia="zh-CN"/>
        </w:rPr>
        <w:t>s cell(s)</w:t>
      </w:r>
      <w:r>
        <w:rPr>
          <w:lang w:val="en-US"/>
        </w:rPr>
        <w:t>.</w:t>
      </w:r>
      <w:bookmarkEnd w:id="31"/>
      <w:bookmarkEnd w:id="32"/>
      <w:bookmarkEnd w:id="33"/>
      <w:bookmarkEnd w:id="34"/>
      <w:bookmarkEnd w:id="35"/>
      <w:bookmarkEnd w:id="36"/>
      <w:bookmarkEnd w:id="37"/>
      <w:bookmarkEnd w:id="38"/>
      <w:bookmarkEnd w:id="39"/>
    </w:p>
    <w:p w:rsidR="00DF1CD0" w:rsidRDefault="00E11052">
      <w:pPr>
        <w:pStyle w:val="af1"/>
        <w:numPr>
          <w:ilvl w:val="255"/>
          <w:numId w:val="0"/>
        </w:numPr>
        <w:spacing w:after="120"/>
        <w:rPr>
          <w:sz w:val="20"/>
          <w:szCs w:val="20"/>
        </w:rPr>
      </w:pPr>
      <w:r>
        <w:rPr>
          <w:rFonts w:eastAsia="宋体" w:hint="eastAsia"/>
          <w:sz w:val="20"/>
          <w:szCs w:val="20"/>
        </w:rPr>
        <w:t xml:space="preserve">It has been agreed that for a given RB set at a symbol, if Rel-17 frequency domain H/S/NA configuration is not provided, the Rel-16 time domain H/S/NA is applied. </w:t>
      </w:r>
      <w:r>
        <w:rPr>
          <w:rFonts w:eastAsia="宋体" w:hint="eastAsia"/>
          <w:sz w:val="20"/>
          <w:szCs w:val="20"/>
        </w:rPr>
        <w:t xml:space="preserve">And </w:t>
      </w:r>
      <w:r>
        <w:rPr>
          <w:rFonts w:eastAsia="宋体" w:hint="eastAsia"/>
          <w:sz w:val="20"/>
          <w:szCs w:val="20"/>
        </w:rPr>
        <w:t>f</w:t>
      </w:r>
      <w:r>
        <w:rPr>
          <w:sz w:val="20"/>
          <w:szCs w:val="20"/>
        </w:rPr>
        <w:t>or a given RB set at a symbol, if both the Rel-16 time doma</w:t>
      </w:r>
      <w:r>
        <w:rPr>
          <w:sz w:val="20"/>
          <w:szCs w:val="20"/>
        </w:rPr>
        <w:t>in H/S/NA configuration and Rel-17 frequency domain H/S/NA configuration are provided</w:t>
      </w:r>
      <w:r>
        <w:rPr>
          <w:sz w:val="20"/>
          <w:szCs w:val="20"/>
        </w:rPr>
        <w:t xml:space="preserve">, </w:t>
      </w:r>
      <w:r>
        <w:rPr>
          <w:rFonts w:eastAsia="宋体" w:hint="eastAsia"/>
          <w:sz w:val="20"/>
          <w:szCs w:val="20"/>
        </w:rPr>
        <w:t>several alternatives are discussed in previous meeting</w:t>
      </w:r>
      <w:r>
        <w:rPr>
          <w:sz w:val="20"/>
          <w:szCs w:val="20"/>
        </w:rPr>
        <w:t>:</w:t>
      </w:r>
    </w:p>
    <w:p w:rsidR="00DF1CD0" w:rsidRDefault="00E11052">
      <w:pPr>
        <w:pStyle w:val="af1"/>
        <w:numPr>
          <w:ilvl w:val="0"/>
          <w:numId w:val="11"/>
        </w:numPr>
        <w:spacing w:after="120"/>
        <w:rPr>
          <w:sz w:val="20"/>
          <w:szCs w:val="20"/>
        </w:rPr>
      </w:pPr>
      <w:r>
        <w:rPr>
          <w:sz w:val="20"/>
          <w:szCs w:val="20"/>
        </w:rPr>
        <w:t>Alt.</w:t>
      </w:r>
      <w:r>
        <w:rPr>
          <w:sz w:val="20"/>
          <w:szCs w:val="20"/>
        </w:rPr>
        <w:t xml:space="preserve"> 1</w:t>
      </w:r>
      <w:r>
        <w:rPr>
          <w:rFonts w:eastAsia="宋体" w:hint="eastAsia"/>
          <w:sz w:val="20"/>
          <w:szCs w:val="20"/>
        </w:rPr>
        <w:t xml:space="preserve">: </w:t>
      </w:r>
      <w:r>
        <w:rPr>
          <w:sz w:val="20"/>
          <w:szCs w:val="20"/>
        </w:rPr>
        <w:t>Rel-17 frequency domain H/S/NA configuration always override</w:t>
      </w:r>
      <w:r>
        <w:rPr>
          <w:sz w:val="20"/>
          <w:szCs w:val="20"/>
        </w:rPr>
        <w:t>s</w:t>
      </w:r>
      <w:r>
        <w:rPr>
          <w:sz w:val="20"/>
          <w:szCs w:val="20"/>
        </w:rPr>
        <w:t xml:space="preserve"> Rel-16 time domain H/S/NA configuration</w:t>
      </w:r>
    </w:p>
    <w:p w:rsidR="00DF1CD0" w:rsidRDefault="00E11052">
      <w:pPr>
        <w:pStyle w:val="af1"/>
        <w:numPr>
          <w:ilvl w:val="0"/>
          <w:numId w:val="11"/>
        </w:numPr>
        <w:spacing w:after="120"/>
        <w:rPr>
          <w:sz w:val="20"/>
          <w:szCs w:val="20"/>
        </w:rPr>
      </w:pPr>
      <w:r>
        <w:rPr>
          <w:sz w:val="20"/>
          <w:szCs w:val="20"/>
        </w:rPr>
        <w:t>Alt</w:t>
      </w:r>
      <w:r>
        <w:rPr>
          <w:sz w:val="20"/>
          <w:szCs w:val="20"/>
        </w:rPr>
        <w:t>.</w:t>
      </w:r>
      <w:r>
        <w:rPr>
          <w:sz w:val="20"/>
          <w:szCs w:val="20"/>
        </w:rPr>
        <w:t xml:space="preserve"> 2: </w:t>
      </w:r>
      <w:r>
        <w:rPr>
          <w:sz w:val="20"/>
          <w:szCs w:val="20"/>
        </w:rPr>
        <w:t>E</w:t>
      </w:r>
      <w:r>
        <w:rPr>
          <w:sz w:val="20"/>
          <w:szCs w:val="20"/>
        </w:rPr>
        <w:t xml:space="preserve">xplicit </w:t>
      </w:r>
      <w:r>
        <w:rPr>
          <w:sz w:val="20"/>
          <w:szCs w:val="20"/>
        </w:rPr>
        <w:t>indication</w:t>
      </w:r>
      <w:r>
        <w:rPr>
          <w:sz w:val="20"/>
          <w:szCs w:val="20"/>
        </w:rPr>
        <w:t xml:space="preserve"> to select </w:t>
      </w:r>
      <w:r>
        <w:rPr>
          <w:sz w:val="20"/>
          <w:szCs w:val="20"/>
        </w:rPr>
        <w:t xml:space="preserve">either the </w:t>
      </w:r>
      <w:r>
        <w:rPr>
          <w:sz w:val="20"/>
          <w:szCs w:val="20"/>
        </w:rPr>
        <w:t xml:space="preserve">Rel-16 time domain H/S/NA configuration </w:t>
      </w:r>
      <w:r>
        <w:rPr>
          <w:sz w:val="20"/>
          <w:szCs w:val="20"/>
        </w:rPr>
        <w:t>or the</w:t>
      </w:r>
      <w:r>
        <w:rPr>
          <w:sz w:val="20"/>
          <w:szCs w:val="20"/>
        </w:rPr>
        <w:t xml:space="preserve"> Rel-17 frequency domain H/S/NA configuration</w:t>
      </w:r>
    </w:p>
    <w:p w:rsidR="00DF1CD0" w:rsidRDefault="00E11052">
      <w:pPr>
        <w:pStyle w:val="af1"/>
        <w:numPr>
          <w:ilvl w:val="0"/>
          <w:numId w:val="11"/>
        </w:numPr>
        <w:spacing w:after="120"/>
        <w:rPr>
          <w:sz w:val="20"/>
          <w:szCs w:val="20"/>
        </w:rPr>
      </w:pPr>
      <w:r>
        <w:rPr>
          <w:sz w:val="20"/>
          <w:szCs w:val="20"/>
        </w:rPr>
        <w:t xml:space="preserve">Alt. </w:t>
      </w:r>
      <w:r>
        <w:rPr>
          <w:sz w:val="20"/>
          <w:szCs w:val="20"/>
        </w:rPr>
        <w:t xml:space="preserve">3: </w:t>
      </w:r>
      <w:r>
        <w:rPr>
          <w:sz w:val="20"/>
          <w:szCs w:val="20"/>
        </w:rPr>
        <w:t>I</w:t>
      </w:r>
      <w:r>
        <w:rPr>
          <w:sz w:val="20"/>
          <w:szCs w:val="20"/>
        </w:rPr>
        <w:t xml:space="preserve">mplicit rule(s) </w:t>
      </w:r>
      <w:r>
        <w:rPr>
          <w:sz w:val="20"/>
          <w:szCs w:val="20"/>
        </w:rPr>
        <w:t xml:space="preserve">defined </w:t>
      </w:r>
      <w:r>
        <w:rPr>
          <w:sz w:val="20"/>
          <w:szCs w:val="20"/>
        </w:rPr>
        <w:t xml:space="preserve">to select </w:t>
      </w:r>
      <w:r>
        <w:rPr>
          <w:sz w:val="20"/>
          <w:szCs w:val="20"/>
        </w:rPr>
        <w:t>either the</w:t>
      </w:r>
      <w:r>
        <w:rPr>
          <w:sz w:val="20"/>
          <w:szCs w:val="20"/>
        </w:rPr>
        <w:t xml:space="preserve"> Rel-16 time domain H/S/NA configuration </w:t>
      </w:r>
      <w:r>
        <w:rPr>
          <w:sz w:val="20"/>
          <w:szCs w:val="20"/>
        </w:rPr>
        <w:t>or the</w:t>
      </w:r>
      <w:r>
        <w:rPr>
          <w:sz w:val="20"/>
          <w:szCs w:val="20"/>
        </w:rPr>
        <w:t xml:space="preserve"> Rel-17 frequency </w:t>
      </w:r>
      <w:r>
        <w:rPr>
          <w:sz w:val="20"/>
          <w:szCs w:val="20"/>
        </w:rPr>
        <w:t>domain H/S/NA configuration</w:t>
      </w:r>
    </w:p>
    <w:p w:rsidR="00DF1CD0" w:rsidRDefault="00E11052">
      <w:pPr>
        <w:pStyle w:val="af1"/>
        <w:numPr>
          <w:ilvl w:val="255"/>
          <w:numId w:val="0"/>
        </w:numPr>
        <w:spacing w:after="120"/>
        <w:rPr>
          <w:sz w:val="20"/>
          <w:szCs w:val="20"/>
        </w:rPr>
      </w:pPr>
      <w:r>
        <w:rPr>
          <w:rFonts w:hint="eastAsia"/>
          <w:sz w:val="20"/>
          <w:szCs w:val="20"/>
        </w:rPr>
        <w:t>Alt. 2 and Alt. 3 support</w:t>
      </w:r>
      <w:r>
        <w:rPr>
          <w:sz w:val="20"/>
          <w:szCs w:val="20"/>
        </w:rPr>
        <w:t xml:space="preserve"> dynamic H</w:t>
      </w:r>
      <w:r>
        <w:rPr>
          <w:rFonts w:hint="eastAsia"/>
          <w:sz w:val="20"/>
          <w:szCs w:val="20"/>
        </w:rPr>
        <w:t>/</w:t>
      </w:r>
      <w:r>
        <w:rPr>
          <w:sz w:val="20"/>
          <w:szCs w:val="20"/>
        </w:rPr>
        <w:t>S</w:t>
      </w:r>
      <w:r>
        <w:rPr>
          <w:rFonts w:hint="eastAsia"/>
          <w:sz w:val="20"/>
          <w:szCs w:val="20"/>
        </w:rPr>
        <w:t>/</w:t>
      </w:r>
      <w:r>
        <w:rPr>
          <w:sz w:val="20"/>
          <w:szCs w:val="20"/>
        </w:rPr>
        <w:t xml:space="preserve">NA configuration selection </w:t>
      </w:r>
      <w:r>
        <w:rPr>
          <w:rFonts w:hint="eastAsia"/>
          <w:sz w:val="20"/>
          <w:szCs w:val="20"/>
        </w:rPr>
        <w:t xml:space="preserve">through </w:t>
      </w:r>
      <w:r>
        <w:rPr>
          <w:sz w:val="20"/>
          <w:szCs w:val="20"/>
        </w:rPr>
        <w:t xml:space="preserve">explicit indication </w:t>
      </w:r>
      <w:r>
        <w:rPr>
          <w:rFonts w:hint="eastAsia"/>
          <w:sz w:val="20"/>
          <w:szCs w:val="20"/>
        </w:rPr>
        <w:t xml:space="preserve">and </w:t>
      </w:r>
      <w:r>
        <w:rPr>
          <w:sz w:val="20"/>
          <w:szCs w:val="20"/>
        </w:rPr>
        <w:t xml:space="preserve">implicit </w:t>
      </w:r>
      <w:r>
        <w:rPr>
          <w:rFonts w:hint="eastAsia"/>
          <w:sz w:val="20"/>
          <w:szCs w:val="20"/>
        </w:rPr>
        <w:t>rule(s) respectively, but, the following problems may exist</w:t>
      </w:r>
      <w:r>
        <w:rPr>
          <w:sz w:val="20"/>
          <w:szCs w:val="20"/>
        </w:rPr>
        <w:t>:</w:t>
      </w:r>
    </w:p>
    <w:p w:rsidR="00DF1CD0" w:rsidRDefault="00E11052">
      <w:pPr>
        <w:pStyle w:val="af1"/>
        <w:numPr>
          <w:ilvl w:val="0"/>
          <w:numId w:val="11"/>
        </w:numPr>
        <w:spacing w:after="120"/>
        <w:rPr>
          <w:sz w:val="20"/>
          <w:szCs w:val="20"/>
        </w:rPr>
      </w:pPr>
      <w:r>
        <w:rPr>
          <w:sz w:val="20"/>
          <w:szCs w:val="20"/>
        </w:rPr>
        <w:t xml:space="preserve">It is difficult to make a consistent understanding on the </w:t>
      </w:r>
      <w:r>
        <w:rPr>
          <w:sz w:val="20"/>
          <w:szCs w:val="20"/>
        </w:rPr>
        <w:t>selected H</w:t>
      </w:r>
      <w:r>
        <w:rPr>
          <w:rFonts w:hint="eastAsia"/>
          <w:sz w:val="20"/>
          <w:szCs w:val="20"/>
        </w:rPr>
        <w:t>/</w:t>
      </w:r>
      <w:r>
        <w:rPr>
          <w:sz w:val="20"/>
          <w:szCs w:val="20"/>
        </w:rPr>
        <w:t>S</w:t>
      </w:r>
      <w:r>
        <w:rPr>
          <w:rFonts w:hint="eastAsia"/>
          <w:sz w:val="20"/>
          <w:szCs w:val="20"/>
        </w:rPr>
        <w:t>/</w:t>
      </w:r>
      <w:r>
        <w:rPr>
          <w:sz w:val="20"/>
          <w:szCs w:val="20"/>
        </w:rPr>
        <w:t>NA configuration on the IAB</w:t>
      </w:r>
      <w:r>
        <w:rPr>
          <w:rFonts w:hint="eastAsia"/>
          <w:sz w:val="20"/>
          <w:szCs w:val="20"/>
        </w:rPr>
        <w:t>-</w:t>
      </w:r>
      <w:r>
        <w:rPr>
          <w:sz w:val="20"/>
          <w:szCs w:val="20"/>
        </w:rPr>
        <w:t>node</w:t>
      </w:r>
      <w:r>
        <w:rPr>
          <w:rFonts w:hint="eastAsia"/>
          <w:sz w:val="20"/>
          <w:szCs w:val="20"/>
        </w:rPr>
        <w:t xml:space="preserve"> DU</w:t>
      </w:r>
      <w:r>
        <w:rPr>
          <w:sz w:val="20"/>
          <w:szCs w:val="20"/>
        </w:rPr>
        <w:t xml:space="preserve"> among the IAB</w:t>
      </w:r>
      <w:r>
        <w:rPr>
          <w:rFonts w:hint="eastAsia"/>
          <w:sz w:val="20"/>
          <w:szCs w:val="20"/>
        </w:rPr>
        <w:t>-</w:t>
      </w:r>
      <w:r>
        <w:rPr>
          <w:sz w:val="20"/>
          <w:szCs w:val="20"/>
        </w:rPr>
        <w:t xml:space="preserve">node, its parent node(s), </w:t>
      </w:r>
      <w:r>
        <w:rPr>
          <w:rFonts w:hint="eastAsia"/>
          <w:sz w:val="20"/>
          <w:szCs w:val="20"/>
        </w:rPr>
        <w:t xml:space="preserve">and </w:t>
      </w:r>
      <w:r>
        <w:rPr>
          <w:sz w:val="20"/>
          <w:szCs w:val="20"/>
        </w:rPr>
        <w:t>CU.</w:t>
      </w:r>
    </w:p>
    <w:p w:rsidR="00DF1CD0" w:rsidRDefault="00E11052">
      <w:pPr>
        <w:pStyle w:val="af1"/>
        <w:numPr>
          <w:ilvl w:val="0"/>
          <w:numId w:val="11"/>
        </w:numPr>
        <w:spacing w:after="120"/>
        <w:rPr>
          <w:rFonts w:eastAsia="宋体"/>
          <w:sz w:val="20"/>
          <w:szCs w:val="20"/>
        </w:rPr>
      </w:pPr>
      <w:r>
        <w:rPr>
          <w:sz w:val="20"/>
          <w:szCs w:val="20"/>
        </w:rPr>
        <w:t>Semi-static H</w:t>
      </w:r>
      <w:r>
        <w:rPr>
          <w:rFonts w:hint="eastAsia"/>
          <w:sz w:val="20"/>
          <w:szCs w:val="20"/>
        </w:rPr>
        <w:t>/</w:t>
      </w:r>
      <w:r>
        <w:rPr>
          <w:sz w:val="20"/>
          <w:szCs w:val="20"/>
        </w:rPr>
        <w:t>S</w:t>
      </w:r>
      <w:r>
        <w:rPr>
          <w:rFonts w:hint="eastAsia"/>
          <w:sz w:val="20"/>
          <w:szCs w:val="20"/>
        </w:rPr>
        <w:t>/</w:t>
      </w:r>
      <w:r>
        <w:rPr>
          <w:sz w:val="20"/>
          <w:szCs w:val="20"/>
        </w:rPr>
        <w:t xml:space="preserve">NA configurations would be coordinated for the purpose of CLI and resource multiplexing in DC. </w:t>
      </w:r>
      <w:r>
        <w:rPr>
          <w:rFonts w:hint="eastAsia"/>
          <w:sz w:val="20"/>
          <w:szCs w:val="20"/>
        </w:rPr>
        <w:t xml:space="preserve">It is impossible/difficult </w:t>
      </w:r>
      <w:r w:rsidR="00431105">
        <w:rPr>
          <w:sz w:val="20"/>
          <w:szCs w:val="20"/>
        </w:rPr>
        <w:t xml:space="preserve">to make the </w:t>
      </w:r>
      <w:r>
        <w:rPr>
          <w:sz w:val="20"/>
          <w:szCs w:val="20"/>
        </w:rPr>
        <w:t xml:space="preserve">peer </w:t>
      </w:r>
      <w:r>
        <w:rPr>
          <w:sz w:val="20"/>
          <w:szCs w:val="20"/>
        </w:rPr>
        <w:t>node/neighbour node know the dynamic selected HSNA configuration at the IAB node</w:t>
      </w:r>
      <w:r>
        <w:rPr>
          <w:rFonts w:hint="eastAsia"/>
          <w:sz w:val="20"/>
          <w:szCs w:val="20"/>
        </w:rPr>
        <w:t>.</w:t>
      </w:r>
    </w:p>
    <w:p w:rsidR="00DF1CD0" w:rsidRDefault="00E11052">
      <w:pPr>
        <w:pStyle w:val="YJ-Observation"/>
        <w:spacing w:before="120" w:after="120"/>
        <w:rPr>
          <w:lang w:val="en-US" w:eastAsia="zh-CN"/>
        </w:rPr>
      </w:pPr>
      <w:bookmarkStart w:id="40" w:name="_Toc83923098"/>
      <w:r>
        <w:rPr>
          <w:rFonts w:hint="eastAsia"/>
          <w:lang w:val="en-US" w:eastAsia="zh-CN"/>
        </w:rPr>
        <w:t>Dynamic H/S/NA configuration selection between Rel-17 frequency domain H/S/NA configuration and Rel-16 time domain H/S/NA configuration may lead to inconsistent understanding</w:t>
      </w:r>
      <w:r>
        <w:rPr>
          <w:rFonts w:hint="eastAsia"/>
          <w:lang w:val="en-US" w:eastAsia="zh-CN"/>
        </w:rPr>
        <w:t xml:space="preserve"> of H/S/NA frequency on an IAB-node DU</w:t>
      </w:r>
      <w:r>
        <w:rPr>
          <w:lang w:val="en-US" w:eastAsia="zh-CN"/>
        </w:rPr>
        <w:t>.</w:t>
      </w:r>
      <w:bookmarkEnd w:id="40"/>
      <w:r>
        <w:rPr>
          <w:lang w:val="en-US" w:eastAsia="zh-CN"/>
        </w:rPr>
        <w:t xml:space="preserve"> </w:t>
      </w:r>
    </w:p>
    <w:p w:rsidR="00DF1CD0" w:rsidRDefault="00E11052">
      <w:pPr>
        <w:pStyle w:val="YJ-Proposal"/>
        <w:spacing w:before="120" w:after="120"/>
        <w:rPr>
          <w:lang w:val="en-US" w:eastAsia="zh-CN"/>
        </w:rPr>
      </w:pPr>
      <w:r>
        <w:t xml:space="preserve"> </w:t>
      </w:r>
      <w:bookmarkStart w:id="41" w:name="_Toc83923108"/>
      <w:r>
        <w:t>Rel-17 frequency domain H/S/NA configuration</w:t>
      </w:r>
      <w:r>
        <w:rPr>
          <w:rFonts w:hint="eastAsia"/>
          <w:lang w:val="en-US" w:eastAsia="zh-CN"/>
        </w:rPr>
        <w:t>, if provided,</w:t>
      </w:r>
      <w:r>
        <w:t xml:space="preserve"> always override</w:t>
      </w:r>
      <w:r>
        <w:t>s</w:t>
      </w:r>
      <w:r>
        <w:t xml:space="preserve"> Rel-16 time domain H/S/NA configuration</w:t>
      </w:r>
      <w:r>
        <w:rPr>
          <w:rFonts w:hint="eastAsia"/>
          <w:lang w:val="en-US" w:eastAsia="zh-CN"/>
        </w:rPr>
        <w:t>.</w:t>
      </w:r>
      <w:bookmarkEnd w:id="41"/>
    </w:p>
    <w:p w:rsidR="00DF1CD0" w:rsidRDefault="00DF1CD0">
      <w:pPr>
        <w:pStyle w:val="YJ-Proposal"/>
        <w:numPr>
          <w:ilvl w:val="0"/>
          <w:numId w:val="0"/>
        </w:numPr>
        <w:spacing w:before="120" w:after="120"/>
        <w:jc w:val="both"/>
        <w:rPr>
          <w:lang w:val="en-US" w:eastAsia="zh-CN"/>
        </w:rPr>
      </w:pPr>
    </w:p>
    <w:p w:rsidR="00DF1CD0" w:rsidRDefault="00E11052">
      <w:pPr>
        <w:pStyle w:val="3"/>
        <w:spacing w:after="120"/>
        <w:ind w:right="210"/>
      </w:pPr>
      <w:r>
        <w:t>Dynamic availability indication</w:t>
      </w:r>
    </w:p>
    <w:p w:rsidR="00DF1CD0" w:rsidRDefault="00E11052">
      <w:pPr>
        <w:spacing w:before="120" w:after="120"/>
        <w:rPr>
          <w:sz w:val="20"/>
        </w:rPr>
      </w:pPr>
      <w:r>
        <w:rPr>
          <w:sz w:val="20"/>
        </w:rPr>
        <w:t>The following agreements have been made in RAN1#10</w:t>
      </w:r>
      <w:r>
        <w:rPr>
          <w:rFonts w:hint="eastAsia"/>
          <w:sz w:val="20"/>
        </w:rPr>
        <w:t>6</w:t>
      </w:r>
      <w:r>
        <w:rPr>
          <w:sz w:val="20"/>
        </w:rPr>
        <w:t>-e on dynamic</w:t>
      </w:r>
      <w:r>
        <w:rPr>
          <w:sz w:val="20"/>
        </w:rPr>
        <w:t xml:space="preserve"> indication of availability for soft frequency resources for DU</w:t>
      </w:r>
      <w:r>
        <w:rPr>
          <w:rFonts w:hint="eastAsia"/>
          <w:sz w:val="20"/>
        </w:rPr>
        <w:t xml:space="preserve"> </w:t>
      </w:r>
      <w:r>
        <w:rPr>
          <w:sz w:val="20"/>
        </w:rPr>
        <w:t>[1]:</w:t>
      </w:r>
    </w:p>
    <w:tbl>
      <w:tblPr>
        <w:tblStyle w:val="ac"/>
        <w:tblW w:w="0" w:type="auto"/>
        <w:tblLook w:val="04A0" w:firstRow="1" w:lastRow="0" w:firstColumn="1" w:lastColumn="0" w:noHBand="0" w:noVBand="1"/>
      </w:tblPr>
      <w:tblGrid>
        <w:gridCol w:w="9876"/>
      </w:tblGrid>
      <w:tr w:rsidR="00DF1CD0">
        <w:trPr>
          <w:trHeight w:val="1120"/>
        </w:trPr>
        <w:tc>
          <w:tcPr>
            <w:tcW w:w="9876" w:type="dxa"/>
          </w:tcPr>
          <w:p w:rsidR="00DF1CD0" w:rsidRDefault="00E11052">
            <w:pPr>
              <w:spacing w:before="120" w:after="120"/>
              <w:rPr>
                <w:rFonts w:cs="Times"/>
                <w:b/>
                <w:sz w:val="20"/>
              </w:rPr>
            </w:pPr>
            <w:r>
              <w:rPr>
                <w:rFonts w:cs="Times"/>
                <w:b/>
                <w:sz w:val="20"/>
                <w:highlight w:val="green"/>
              </w:rPr>
              <w:t>Agreement</w:t>
            </w:r>
          </w:p>
          <w:p w:rsidR="00DF1CD0" w:rsidRDefault="00E11052">
            <w:pPr>
              <w:spacing w:before="120" w:after="120"/>
              <w:rPr>
                <w:rFonts w:cs="Times"/>
                <w:sz w:val="20"/>
              </w:rPr>
            </w:pPr>
            <w:r>
              <w:rPr>
                <w:rFonts w:cs="Times"/>
                <w:sz w:val="20"/>
              </w:rPr>
              <w:t>To support soft resource availability in the frequency domain, the existing DCI 2_5 format is reused according to one of the following alternatives:</w:t>
            </w:r>
          </w:p>
          <w:p w:rsidR="00DF1CD0" w:rsidRDefault="00E11052">
            <w:pPr>
              <w:pStyle w:val="af1"/>
              <w:numPr>
                <w:ilvl w:val="0"/>
                <w:numId w:val="12"/>
              </w:numPr>
              <w:spacing w:after="120"/>
              <w:rPr>
                <w:rFonts w:cs="Times"/>
                <w:sz w:val="20"/>
                <w:szCs w:val="20"/>
              </w:rPr>
            </w:pPr>
            <w:r>
              <w:rPr>
                <w:rFonts w:cs="Times"/>
                <w:sz w:val="20"/>
                <w:szCs w:val="20"/>
              </w:rPr>
              <w:t xml:space="preserve">Alt. 1: A single DCI format </w:t>
            </w:r>
            <w:r>
              <w:rPr>
                <w:rFonts w:cs="Times"/>
                <w:sz w:val="20"/>
                <w:szCs w:val="20"/>
              </w:rPr>
              <w:t>2_5 can be received indicating availability for multiple RB sets which correspond to the same time resources of the child IAB-DU cell.</w:t>
            </w:r>
          </w:p>
          <w:p w:rsidR="00DF1CD0" w:rsidRDefault="00E11052">
            <w:pPr>
              <w:pStyle w:val="af1"/>
              <w:numPr>
                <w:ilvl w:val="0"/>
                <w:numId w:val="12"/>
              </w:numPr>
              <w:spacing w:after="120"/>
              <w:rPr>
                <w:rFonts w:cs="Times"/>
                <w:sz w:val="20"/>
                <w:szCs w:val="20"/>
              </w:rPr>
            </w:pPr>
            <w:r>
              <w:rPr>
                <w:rFonts w:cs="Times"/>
                <w:sz w:val="20"/>
                <w:szCs w:val="20"/>
              </w:rPr>
              <w:t>Alt. 2: Multiple DCI format 2_5 can be received indicating availability with the granularity of one or more RB set(s) for</w:t>
            </w:r>
            <w:r>
              <w:rPr>
                <w:rFonts w:cs="Times"/>
                <w:sz w:val="20"/>
                <w:szCs w:val="20"/>
              </w:rPr>
              <w:t xml:space="preserve"> different RB sets which correspond to the same time resources of the child IAB-DU cell.</w:t>
            </w:r>
          </w:p>
          <w:p w:rsidR="00DF1CD0" w:rsidRDefault="00E11052">
            <w:pPr>
              <w:pStyle w:val="af1"/>
              <w:numPr>
                <w:ilvl w:val="0"/>
                <w:numId w:val="12"/>
              </w:numPr>
              <w:spacing w:after="120"/>
              <w:rPr>
                <w:rFonts w:cs="Times"/>
                <w:sz w:val="20"/>
                <w:szCs w:val="20"/>
              </w:rPr>
            </w:pPr>
            <w:r>
              <w:rPr>
                <w:rFonts w:cs="Times"/>
                <w:sz w:val="20"/>
                <w:szCs w:val="20"/>
              </w:rPr>
              <w:t>Alt. 3: A single DCI format 2_5 can be received indicating availability of all the soft resources which correspond to the same time resources of the child IAB-DU cell.</w:t>
            </w:r>
          </w:p>
          <w:p w:rsidR="00DF1CD0" w:rsidRDefault="00DF1CD0">
            <w:pPr>
              <w:spacing w:before="120" w:after="120"/>
              <w:rPr>
                <w:sz w:val="20"/>
              </w:rPr>
            </w:pPr>
          </w:p>
        </w:tc>
      </w:tr>
    </w:tbl>
    <w:p w:rsidR="00DF1CD0" w:rsidRDefault="00DF1CD0">
      <w:pPr>
        <w:spacing w:beforeLines="0" w:afterLines="0" w:line="259" w:lineRule="auto"/>
        <w:rPr>
          <w:sz w:val="20"/>
        </w:rPr>
      </w:pPr>
    </w:p>
    <w:p w:rsidR="00DF1CD0" w:rsidRDefault="00E11052">
      <w:pPr>
        <w:spacing w:beforeLines="0" w:afterLines="0" w:line="259" w:lineRule="auto"/>
        <w:rPr>
          <w:sz w:val="20"/>
        </w:rPr>
      </w:pPr>
      <w:r>
        <w:rPr>
          <w:rFonts w:hint="eastAsia"/>
          <w:sz w:val="20"/>
        </w:rPr>
        <w:t>In Rel-16 IAB, f</w:t>
      </w:r>
      <w:r>
        <w:t>or an IAB-</w:t>
      </w:r>
      <w:r>
        <w:rPr>
          <w:rFonts w:hint="eastAsia"/>
        </w:rPr>
        <w:t xml:space="preserve">node </w:t>
      </w:r>
      <w:r>
        <w:t>DU</w:t>
      </w:r>
      <w:r>
        <w:rPr>
          <w:rFonts w:hint="eastAsia"/>
        </w:rPr>
        <w:t xml:space="preserve"> cell, a</w:t>
      </w:r>
      <w:r>
        <w:rPr>
          <w:rFonts w:hint="eastAsia"/>
          <w:sz w:val="20"/>
        </w:rPr>
        <w:t xml:space="preserve"> set of </w:t>
      </w:r>
      <w:r>
        <w:rPr>
          <w:sz w:val="20"/>
        </w:rPr>
        <w:t>availability combinations</w:t>
      </w:r>
      <w:r>
        <w:rPr>
          <w:rFonts w:hint="eastAsia"/>
          <w:sz w:val="20"/>
        </w:rPr>
        <w:t xml:space="preserve"> (i.e. </w:t>
      </w:r>
      <w:r>
        <w:t>availability combination</w:t>
      </w:r>
      <w:r>
        <w:rPr>
          <w:rFonts w:hint="eastAsia"/>
        </w:rPr>
        <w:t xml:space="preserve"> table</w:t>
      </w:r>
      <w:r>
        <w:rPr>
          <w:rFonts w:hint="eastAsia"/>
          <w:sz w:val="20"/>
        </w:rPr>
        <w:t xml:space="preserve">) are provided by RRC signaling, and one </w:t>
      </w:r>
      <w:r>
        <w:rPr>
          <w:sz w:val="20"/>
        </w:rPr>
        <w:t>availability combination</w:t>
      </w:r>
      <w:r>
        <w:rPr>
          <w:rFonts w:hint="eastAsia"/>
          <w:sz w:val="20"/>
        </w:rPr>
        <w:t xml:space="preserve"> are indicated by DCI Format 2_5 to indicate the availability of soft resources at carrier level in one or more slots. </w:t>
      </w:r>
      <w:r>
        <w:rPr>
          <w:rFonts w:hint="eastAsia"/>
          <w:sz w:val="20"/>
        </w:rPr>
        <w:t>According to above t</w:t>
      </w:r>
      <w:r>
        <w:rPr>
          <w:rFonts w:hint="eastAsia"/>
          <w:sz w:val="20"/>
        </w:rPr>
        <w:t>he agreements</w:t>
      </w:r>
      <w:r>
        <w:rPr>
          <w:rFonts w:hint="eastAsia"/>
          <w:sz w:val="20"/>
        </w:rPr>
        <w:t>,</w:t>
      </w:r>
      <w:r>
        <w:rPr>
          <w:rFonts w:hint="eastAsia"/>
          <w:sz w:val="20"/>
        </w:rPr>
        <w:t xml:space="preserve"> </w:t>
      </w:r>
      <w:r>
        <w:rPr>
          <w:rFonts w:hint="eastAsia"/>
          <w:sz w:val="20"/>
        </w:rPr>
        <w:t xml:space="preserve">existing </w:t>
      </w:r>
      <w:r>
        <w:rPr>
          <w:rFonts w:hint="eastAsia"/>
          <w:sz w:val="20"/>
        </w:rPr>
        <w:t xml:space="preserve">DCI Format 2_5 </w:t>
      </w:r>
      <w:r>
        <w:rPr>
          <w:rFonts w:hint="eastAsia"/>
          <w:sz w:val="20"/>
        </w:rPr>
        <w:t xml:space="preserve">is reused to support </w:t>
      </w:r>
      <w:r>
        <w:rPr>
          <w:rFonts w:hint="eastAsia"/>
          <w:sz w:val="20"/>
        </w:rPr>
        <w:t xml:space="preserve">soft resource availability indications </w:t>
      </w:r>
      <w:r>
        <w:rPr>
          <w:rFonts w:hint="eastAsia"/>
          <w:sz w:val="20"/>
        </w:rPr>
        <w:t>in</w:t>
      </w:r>
      <w:r>
        <w:rPr>
          <w:rFonts w:hint="eastAsia"/>
          <w:sz w:val="20"/>
        </w:rPr>
        <w:t xml:space="preserve"> frequency-domai</w:t>
      </w:r>
      <w:r>
        <w:rPr>
          <w:rFonts w:hint="eastAsia"/>
          <w:sz w:val="20"/>
        </w:rPr>
        <w:t>n resources</w:t>
      </w:r>
      <w:r>
        <w:rPr>
          <w:rFonts w:hint="eastAsia"/>
          <w:sz w:val="20"/>
        </w:rPr>
        <w:t xml:space="preserve"> according to one of 3 alternatives</w:t>
      </w:r>
      <w:r>
        <w:rPr>
          <w:rFonts w:hint="eastAsia"/>
          <w:sz w:val="20"/>
        </w:rPr>
        <w:t>.</w:t>
      </w:r>
    </w:p>
    <w:p w:rsidR="00DF1CD0" w:rsidRDefault="00E11052">
      <w:pPr>
        <w:spacing w:beforeLines="0" w:afterLines="0" w:line="259" w:lineRule="auto"/>
        <w:rPr>
          <w:sz w:val="20"/>
        </w:rPr>
      </w:pPr>
      <w:r>
        <w:rPr>
          <w:rFonts w:hint="eastAsia"/>
          <w:sz w:val="20"/>
        </w:rPr>
        <w:t xml:space="preserve">Alt. 1 indicates availability for multiple RB sets which correspond to the same time resource by a single DCI Format 2_5 with extending existing </w:t>
      </w:r>
      <w:r>
        <w:t>availability combination</w:t>
      </w:r>
      <w:r>
        <w:rPr>
          <w:rFonts w:hint="eastAsia"/>
          <w:sz w:val="20"/>
        </w:rPr>
        <w:t xml:space="preserve">. </w:t>
      </w:r>
      <w:r>
        <w:rPr>
          <w:rFonts w:hint="eastAsia"/>
          <w:sz w:val="20"/>
        </w:rPr>
        <w:t xml:space="preserve">It seems unnecessary to support soft </w:t>
      </w:r>
      <w:r>
        <w:rPr>
          <w:rFonts w:hint="eastAsia"/>
          <w:sz w:val="20"/>
        </w:rPr>
        <w:t xml:space="preserve">resource availability indications per RB set since FDM </w:t>
      </w:r>
      <w:r>
        <w:rPr>
          <w:rFonts w:hint="eastAsia"/>
          <w:sz w:val="20"/>
        </w:rPr>
        <w:t xml:space="preserve">operation </w:t>
      </w:r>
      <w:r>
        <w:rPr>
          <w:rFonts w:hint="eastAsia"/>
          <w:sz w:val="20"/>
        </w:rPr>
        <w:t>is already supported by semi-static resource configuration in frequency domain.</w:t>
      </w:r>
      <w:r>
        <w:rPr>
          <w:rFonts w:hint="eastAsia"/>
          <w:sz w:val="20"/>
        </w:rPr>
        <w:t xml:space="preserve"> In addition, the relationship between new DCI Format 2_5 and existing </w:t>
      </w:r>
      <w:r>
        <w:rPr>
          <w:rFonts w:hint="eastAsia"/>
          <w:sz w:val="20"/>
        </w:rPr>
        <w:t>DCI Format 2_5</w:t>
      </w:r>
      <w:r>
        <w:rPr>
          <w:rFonts w:hint="eastAsia"/>
          <w:sz w:val="20"/>
        </w:rPr>
        <w:t xml:space="preserve"> is not clear.</w:t>
      </w:r>
    </w:p>
    <w:p w:rsidR="00DF1CD0" w:rsidRDefault="00E11052">
      <w:pPr>
        <w:spacing w:beforeLines="0" w:afterLines="0" w:line="259" w:lineRule="auto"/>
        <w:rPr>
          <w:sz w:val="20"/>
        </w:rPr>
      </w:pPr>
      <w:r>
        <w:rPr>
          <w:rFonts w:hint="eastAsia"/>
          <w:sz w:val="20"/>
        </w:rPr>
        <w:t xml:space="preserve">Alt. 2 will </w:t>
      </w:r>
      <w:r>
        <w:rPr>
          <w:rFonts w:hint="eastAsia"/>
          <w:sz w:val="20"/>
        </w:rPr>
        <w:t>increase the number of PDCCHs decoded by MT since each RB set corresponds to a DCI Format 2_5, and additional parameters need to be introduced to distinguish multiple DCI Format 2_5 corresponding to different RB sets. There is no a strong motivation to use</w:t>
      </w:r>
      <w:r>
        <w:rPr>
          <w:rFonts w:hint="eastAsia"/>
          <w:sz w:val="20"/>
        </w:rPr>
        <w:t xml:space="preserve"> multiple DCI Format 2_5 since a single DCI Format 2_5 can solve this problem. In addition, the relationship between new DCI Format 2_5 and existing </w:t>
      </w:r>
      <w:r>
        <w:rPr>
          <w:rFonts w:hint="eastAsia"/>
          <w:sz w:val="20"/>
        </w:rPr>
        <w:t>DCI Format 2_5</w:t>
      </w:r>
      <w:r>
        <w:rPr>
          <w:rFonts w:hint="eastAsia"/>
          <w:sz w:val="20"/>
        </w:rPr>
        <w:t xml:space="preserve"> is not clear.</w:t>
      </w:r>
    </w:p>
    <w:p w:rsidR="00DF1CD0" w:rsidRDefault="00E11052">
      <w:pPr>
        <w:spacing w:beforeLines="0" w:afterLines="0" w:line="259" w:lineRule="auto"/>
        <w:rPr>
          <w:sz w:val="20"/>
        </w:rPr>
      </w:pPr>
      <w:r>
        <w:rPr>
          <w:rFonts w:hint="eastAsia"/>
          <w:sz w:val="20"/>
        </w:rPr>
        <w:t>Alt. 3 is the simplest and most direct solution,</w:t>
      </w:r>
      <w:r>
        <w:rPr>
          <w:rFonts w:hint="eastAsia"/>
          <w:sz w:val="20"/>
        </w:rPr>
        <w:t xml:space="preserve"> DCI Format 2_5 is fully reuse</w:t>
      </w:r>
      <w:r>
        <w:rPr>
          <w:rFonts w:hint="eastAsia"/>
          <w:sz w:val="20"/>
        </w:rPr>
        <w:t>d (i.e. no additional enhancements), no standardization effort is required and it can be better compatible with TDM. For example, for TDM slot, availability indication is valid for all soft symbols in the slot, for FDM slot, availability indication is only</w:t>
      </w:r>
      <w:r>
        <w:rPr>
          <w:rFonts w:hint="eastAsia"/>
          <w:sz w:val="20"/>
        </w:rPr>
        <w:t xml:space="preserve"> valid for all soft resource in the slot. As shown in figure </w:t>
      </w:r>
      <w:r>
        <w:rPr>
          <w:rFonts w:hint="eastAsia"/>
          <w:sz w:val="20"/>
        </w:rPr>
        <w:t>1</w:t>
      </w:r>
      <w:r>
        <w:rPr>
          <w:rFonts w:hint="eastAsia"/>
          <w:sz w:val="20"/>
        </w:rPr>
        <w:t xml:space="preserve">, DCI Format 2_5 indicates only the availability of S resources highlighted in yellow. </w:t>
      </w:r>
      <w:r>
        <w:rPr>
          <w:rFonts w:hint="eastAsia"/>
          <w:sz w:val="20"/>
        </w:rPr>
        <w:t xml:space="preserve">We do not see a strong motivation </w:t>
      </w:r>
      <w:r>
        <w:rPr>
          <w:rFonts w:hint="eastAsia"/>
          <w:sz w:val="20"/>
        </w:rPr>
        <w:t>to introduce additional enhancements to support soft resource availabilit</w:t>
      </w:r>
      <w:r>
        <w:rPr>
          <w:rFonts w:hint="eastAsia"/>
          <w:sz w:val="20"/>
        </w:rPr>
        <w:t>y indications per RB set since FDM is already supported by semi-static resource configuration in frequency domain.</w:t>
      </w:r>
    </w:p>
    <w:p w:rsidR="00DF1CD0" w:rsidRDefault="00E11052">
      <w:pPr>
        <w:spacing w:beforeLines="0" w:afterLines="0" w:line="259" w:lineRule="auto"/>
        <w:jc w:val="center"/>
        <w:rPr>
          <w:sz w:val="20"/>
        </w:rPr>
      </w:pPr>
      <w:r>
        <w:rPr>
          <w:noProof/>
        </w:rPr>
        <w:drawing>
          <wp:inline distT="0" distB="0" distL="114300" distR="114300">
            <wp:extent cx="4531995" cy="2017395"/>
            <wp:effectExtent l="0" t="0" r="0" b="190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8"/>
                    <a:stretch>
                      <a:fillRect/>
                    </a:stretch>
                  </pic:blipFill>
                  <pic:spPr>
                    <a:xfrm>
                      <a:off x="0" y="0"/>
                      <a:ext cx="4531995" cy="2017395"/>
                    </a:xfrm>
                    <a:prstGeom prst="rect">
                      <a:avLst/>
                    </a:prstGeom>
                    <a:noFill/>
                    <a:ln>
                      <a:noFill/>
                    </a:ln>
                  </pic:spPr>
                </pic:pic>
              </a:graphicData>
            </a:graphic>
          </wp:inline>
        </w:drawing>
      </w:r>
    </w:p>
    <w:p w:rsidR="00DF1CD0" w:rsidRDefault="00E11052">
      <w:pPr>
        <w:spacing w:beforeLines="0" w:afterLines="0" w:line="259" w:lineRule="auto"/>
        <w:jc w:val="center"/>
        <w:rPr>
          <w:b/>
          <w:bCs/>
          <w:sz w:val="20"/>
        </w:rPr>
      </w:pPr>
      <w:r>
        <w:rPr>
          <w:rFonts w:hint="eastAsia"/>
          <w:b/>
          <w:bCs/>
          <w:sz w:val="20"/>
        </w:rPr>
        <w:t xml:space="preserve">Figure </w:t>
      </w:r>
      <w:r>
        <w:rPr>
          <w:rFonts w:hint="eastAsia"/>
          <w:b/>
          <w:bCs/>
          <w:sz w:val="20"/>
        </w:rPr>
        <w:t>1</w:t>
      </w:r>
      <w:r>
        <w:rPr>
          <w:rFonts w:hint="eastAsia"/>
          <w:b/>
          <w:bCs/>
          <w:sz w:val="20"/>
        </w:rPr>
        <w:t>: Example of DCI Format 2_5 indicating soft resource availability</w:t>
      </w:r>
    </w:p>
    <w:p w:rsidR="00DF1CD0" w:rsidRDefault="00DF1CD0">
      <w:pPr>
        <w:spacing w:beforeLines="0" w:afterLines="0" w:line="259" w:lineRule="auto"/>
      </w:pPr>
    </w:p>
    <w:p w:rsidR="00DF1CD0" w:rsidRDefault="00E11052">
      <w:pPr>
        <w:pStyle w:val="YJ-Observation"/>
        <w:spacing w:before="120" w:after="120"/>
      </w:pPr>
      <w:r>
        <w:t xml:space="preserve"> </w:t>
      </w:r>
      <w:bookmarkStart w:id="42" w:name="_Toc29384"/>
      <w:bookmarkStart w:id="43" w:name="_Toc79164567"/>
      <w:bookmarkStart w:id="44" w:name="_Toc26148"/>
      <w:bookmarkStart w:id="45" w:name="_Toc11239"/>
      <w:bookmarkStart w:id="46" w:name="_Toc25365"/>
      <w:bookmarkStart w:id="47" w:name="_Toc83923099"/>
      <w:r>
        <w:rPr>
          <w:rFonts w:hint="eastAsia"/>
          <w:lang w:val="en-US" w:eastAsia="zh-CN"/>
        </w:rPr>
        <w:t xml:space="preserve">Alt. 3 has less specification impact and is better compatible </w:t>
      </w:r>
      <w:r>
        <w:rPr>
          <w:rFonts w:hint="eastAsia"/>
          <w:lang w:val="en-US" w:eastAsia="zh-CN"/>
        </w:rPr>
        <w:t>with Rel-16 availability indication of soft resources</w:t>
      </w:r>
      <w:r>
        <w:rPr>
          <w:lang w:val="en-US" w:eastAsia="zh-CN"/>
        </w:rPr>
        <w:t>.</w:t>
      </w:r>
      <w:bookmarkEnd w:id="42"/>
      <w:bookmarkEnd w:id="43"/>
      <w:bookmarkEnd w:id="44"/>
      <w:bookmarkEnd w:id="45"/>
      <w:bookmarkEnd w:id="46"/>
      <w:bookmarkEnd w:id="47"/>
      <w:r>
        <w:rPr>
          <w:lang w:val="en-US" w:eastAsia="zh-CN"/>
        </w:rPr>
        <w:t xml:space="preserve">  </w:t>
      </w:r>
    </w:p>
    <w:p w:rsidR="00DF1CD0" w:rsidRDefault="00E11052">
      <w:pPr>
        <w:pStyle w:val="YJ-Proposal"/>
        <w:spacing w:before="120" w:after="120"/>
        <w:rPr>
          <w:lang w:val="en-US"/>
        </w:rPr>
      </w:pPr>
      <w:bookmarkStart w:id="48" w:name="_Toc17153"/>
      <w:bookmarkStart w:id="49" w:name="_Toc176"/>
      <w:bookmarkStart w:id="50" w:name="_Toc8249"/>
      <w:bookmarkStart w:id="51" w:name="_Toc79164576"/>
      <w:bookmarkStart w:id="52" w:name="_Toc10846"/>
      <w:bookmarkStart w:id="53" w:name="_Toc9562"/>
      <w:bookmarkStart w:id="54" w:name="_Toc29505"/>
      <w:bookmarkStart w:id="55" w:name="_Toc2718"/>
      <w:bookmarkStart w:id="56" w:name="_Toc22441"/>
      <w:bookmarkStart w:id="57" w:name="_Toc83923109"/>
      <w:r>
        <w:rPr>
          <w:rFonts w:cs="Times" w:hint="eastAsia"/>
          <w:lang w:val="en-US" w:eastAsia="zh-CN"/>
        </w:rPr>
        <w:t>Rel-16 DCI Format 2_5 is full reused to indicate soft resource availability for TDM and FDM slots (i.e. Alt. 3):</w:t>
      </w:r>
      <w:bookmarkEnd w:id="48"/>
      <w:bookmarkEnd w:id="49"/>
      <w:bookmarkEnd w:id="50"/>
      <w:bookmarkEnd w:id="51"/>
      <w:bookmarkEnd w:id="52"/>
      <w:bookmarkEnd w:id="53"/>
      <w:bookmarkEnd w:id="54"/>
      <w:bookmarkEnd w:id="55"/>
      <w:bookmarkEnd w:id="56"/>
      <w:bookmarkEnd w:id="57"/>
    </w:p>
    <w:p w:rsidR="00DF1CD0" w:rsidRDefault="00E11052">
      <w:pPr>
        <w:pStyle w:val="sub-proposal"/>
        <w:spacing w:before="120" w:after="120"/>
        <w:ind w:left="822" w:hanging="402"/>
        <w:rPr>
          <w:lang w:val="en-US"/>
        </w:rPr>
      </w:pPr>
      <w:bookmarkStart w:id="58" w:name="_Toc349"/>
      <w:bookmarkStart w:id="59" w:name="_Toc10889"/>
      <w:bookmarkStart w:id="60" w:name="_Toc28440"/>
      <w:bookmarkStart w:id="61" w:name="_Toc25678"/>
      <w:bookmarkStart w:id="62" w:name="_Toc8159"/>
      <w:bookmarkStart w:id="63" w:name="_Toc79164577"/>
      <w:bookmarkStart w:id="64" w:name="_Toc20557"/>
      <w:bookmarkStart w:id="65" w:name="_Toc274"/>
      <w:bookmarkStart w:id="66" w:name="_Toc26591"/>
      <w:bookmarkStart w:id="67" w:name="_Toc83923110"/>
      <w:r>
        <w:rPr>
          <w:rFonts w:cs="Times" w:hint="eastAsia"/>
          <w:lang w:val="en-US" w:eastAsia="zh-CN"/>
        </w:rPr>
        <w:t xml:space="preserve">For TDM slot, </w:t>
      </w:r>
      <w:r>
        <w:rPr>
          <w:rFonts w:hint="eastAsia"/>
          <w:lang w:val="en-US" w:eastAsia="zh-CN"/>
        </w:rPr>
        <w:t xml:space="preserve">availability indication is valid </w:t>
      </w:r>
      <w:r>
        <w:rPr>
          <w:rFonts w:cs="Times" w:hint="eastAsia"/>
          <w:lang w:val="en-US" w:eastAsia="zh-CN"/>
        </w:rPr>
        <w:t>for all soft symbols in the slot</w:t>
      </w:r>
      <w:bookmarkEnd w:id="58"/>
      <w:bookmarkEnd w:id="59"/>
      <w:bookmarkEnd w:id="60"/>
      <w:bookmarkEnd w:id="61"/>
      <w:bookmarkEnd w:id="62"/>
      <w:bookmarkEnd w:id="63"/>
      <w:bookmarkEnd w:id="64"/>
      <w:bookmarkEnd w:id="65"/>
      <w:bookmarkEnd w:id="66"/>
      <w:bookmarkEnd w:id="67"/>
    </w:p>
    <w:p w:rsidR="00DF1CD0" w:rsidRDefault="00E11052">
      <w:pPr>
        <w:pStyle w:val="sub-proposal"/>
        <w:spacing w:before="120" w:after="120"/>
        <w:ind w:left="822" w:hanging="402"/>
        <w:rPr>
          <w:lang w:val="en-US" w:eastAsia="zh-CN"/>
        </w:rPr>
      </w:pPr>
      <w:bookmarkStart w:id="68" w:name="_Toc20768"/>
      <w:bookmarkStart w:id="69" w:name="_Toc79164578"/>
      <w:bookmarkStart w:id="70" w:name="_Toc31041"/>
      <w:bookmarkStart w:id="71" w:name="_Toc30621"/>
      <w:bookmarkStart w:id="72" w:name="_Toc4741"/>
      <w:bookmarkStart w:id="73" w:name="_Toc22301"/>
      <w:bookmarkStart w:id="74" w:name="_Toc30455"/>
      <w:bookmarkStart w:id="75" w:name="_Toc15804"/>
      <w:bookmarkStart w:id="76" w:name="_Toc15798"/>
      <w:bookmarkStart w:id="77" w:name="_Toc83923111"/>
      <w:r>
        <w:rPr>
          <w:rFonts w:cs="Times" w:hint="eastAsia"/>
          <w:lang w:val="en-US" w:eastAsia="zh-CN"/>
        </w:rPr>
        <w:t>For FD</w:t>
      </w:r>
      <w:r>
        <w:rPr>
          <w:rFonts w:cs="Times" w:hint="eastAsia"/>
          <w:lang w:val="en-US" w:eastAsia="zh-CN"/>
        </w:rPr>
        <w:t xml:space="preserve">M slot, </w:t>
      </w:r>
      <w:r>
        <w:rPr>
          <w:rFonts w:hint="eastAsia"/>
          <w:lang w:val="en-US" w:eastAsia="zh-CN"/>
        </w:rPr>
        <w:t>availability indication</w:t>
      </w:r>
      <w:r>
        <w:rPr>
          <w:rFonts w:cs="Times" w:hint="eastAsia"/>
          <w:lang w:val="en-US" w:eastAsia="zh-CN"/>
        </w:rPr>
        <w:t xml:space="preserve"> is valid for all soft RB sets in the slot</w:t>
      </w:r>
      <w:r>
        <w:rPr>
          <w:lang w:val="en-US"/>
        </w:rPr>
        <w:t>.</w:t>
      </w:r>
      <w:bookmarkEnd w:id="68"/>
      <w:bookmarkEnd w:id="69"/>
      <w:bookmarkEnd w:id="70"/>
      <w:bookmarkEnd w:id="71"/>
      <w:bookmarkEnd w:id="72"/>
      <w:bookmarkEnd w:id="73"/>
      <w:bookmarkEnd w:id="74"/>
      <w:bookmarkEnd w:id="75"/>
      <w:bookmarkEnd w:id="76"/>
      <w:bookmarkEnd w:id="77"/>
    </w:p>
    <w:p w:rsidR="00DF1CD0" w:rsidRDefault="00DF1CD0">
      <w:pPr>
        <w:pStyle w:val="YJ-Proposal"/>
        <w:numPr>
          <w:ilvl w:val="0"/>
          <w:numId w:val="0"/>
        </w:numPr>
        <w:spacing w:before="120" w:after="120"/>
        <w:rPr>
          <w:lang w:val="en-US" w:eastAsia="zh-CN"/>
        </w:rPr>
      </w:pPr>
    </w:p>
    <w:p w:rsidR="00DF1CD0" w:rsidRDefault="00E11052">
      <w:pPr>
        <w:pStyle w:val="2"/>
        <w:spacing w:before="120" w:after="120"/>
        <w:ind w:left="991" w:right="210" w:hangingChars="354" w:hanging="991"/>
        <w:rPr>
          <w:rFonts w:cs="Arial"/>
          <w:szCs w:val="28"/>
        </w:rPr>
      </w:pPr>
      <w:r>
        <w:rPr>
          <w:rFonts w:cs="Arial"/>
          <w:szCs w:val="28"/>
        </w:rPr>
        <w:t>Spatial domain</w:t>
      </w:r>
    </w:p>
    <w:p w:rsidR="00DF1CD0" w:rsidRDefault="00E11052">
      <w:pPr>
        <w:spacing w:before="120" w:after="120"/>
        <w:rPr>
          <w:sz w:val="20"/>
        </w:rPr>
      </w:pPr>
      <w:r>
        <w:rPr>
          <w:sz w:val="20"/>
        </w:rPr>
        <w:t>The following agreements have been made in RAN1#10</w:t>
      </w:r>
      <w:r>
        <w:rPr>
          <w:rFonts w:hint="eastAsia"/>
          <w:sz w:val="20"/>
        </w:rPr>
        <w:t>6</w:t>
      </w:r>
      <w:r>
        <w:rPr>
          <w:sz w:val="20"/>
        </w:rPr>
        <w:t>-e on how to manage resources in the spatial domain</w:t>
      </w:r>
      <w:r>
        <w:rPr>
          <w:rFonts w:hint="eastAsia"/>
          <w:sz w:val="20"/>
        </w:rPr>
        <w:t xml:space="preserve"> [1]</w:t>
      </w:r>
      <w:r>
        <w:rPr>
          <w:sz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6"/>
      </w:tblGrid>
      <w:tr w:rsidR="00DF1CD0">
        <w:trPr>
          <w:trHeight w:val="1120"/>
        </w:trPr>
        <w:tc>
          <w:tcPr>
            <w:tcW w:w="9876" w:type="dxa"/>
          </w:tcPr>
          <w:p w:rsidR="00DF1CD0" w:rsidRDefault="00E11052">
            <w:pPr>
              <w:spacing w:before="120" w:after="120"/>
              <w:rPr>
                <w:rFonts w:cs="Times"/>
                <w:b/>
                <w:sz w:val="20"/>
                <w:highlight w:val="green"/>
              </w:rPr>
            </w:pPr>
            <w:r>
              <w:rPr>
                <w:rFonts w:cs="Times"/>
                <w:b/>
                <w:sz w:val="20"/>
                <w:highlight w:val="green"/>
              </w:rPr>
              <w:t>Agreement</w:t>
            </w:r>
          </w:p>
          <w:p w:rsidR="00DF1CD0" w:rsidRDefault="00E11052">
            <w:pPr>
              <w:spacing w:before="120" w:after="120"/>
              <w:rPr>
                <w:rFonts w:eastAsia="Calibri" w:cs="Times"/>
                <w:bCs/>
                <w:sz w:val="20"/>
              </w:rPr>
            </w:pPr>
            <w:r>
              <w:rPr>
                <w:rFonts w:eastAsia="Calibri" w:cs="Times"/>
                <w:bCs/>
                <w:sz w:val="20"/>
              </w:rPr>
              <w:t xml:space="preserve">Spatial domain restrictions from a parent node </w:t>
            </w:r>
            <w:r>
              <w:rPr>
                <w:rFonts w:eastAsia="Calibri" w:cs="Times"/>
                <w:bCs/>
                <w:sz w:val="20"/>
              </w:rPr>
              <w:t>or recommendations from a child nod</w:t>
            </w:r>
            <w:r>
              <w:rPr>
                <w:rFonts w:eastAsia="Calibri" w:cs="Times"/>
                <w:bCs/>
                <w:color w:val="000000" w:themeColor="text1"/>
                <w:sz w:val="20"/>
              </w:rPr>
              <w:t>e is l</w:t>
            </w:r>
            <w:r>
              <w:rPr>
                <w:rFonts w:eastAsia="Calibri" w:cs="Times"/>
                <w:bCs/>
                <w:sz w:val="20"/>
              </w:rPr>
              <w:t>imited to a subset of time resources in which simultaneous operation is applied.</w:t>
            </w:r>
          </w:p>
          <w:p w:rsidR="00DF1CD0" w:rsidRDefault="00E11052">
            <w:pPr>
              <w:pStyle w:val="af1"/>
              <w:numPr>
                <w:ilvl w:val="0"/>
                <w:numId w:val="13"/>
              </w:numPr>
              <w:spacing w:after="120"/>
              <w:rPr>
                <w:rFonts w:eastAsia="Calibri" w:cs="Times"/>
                <w:bCs/>
                <w:sz w:val="20"/>
                <w:szCs w:val="20"/>
              </w:rPr>
            </w:pPr>
            <w:r>
              <w:rPr>
                <w:rFonts w:eastAsia="Calibri" w:cs="Times"/>
                <w:bCs/>
                <w:sz w:val="20"/>
                <w:szCs w:val="20"/>
              </w:rPr>
              <w:t>FFS: Handling of frequency resources in case of FDM operation</w:t>
            </w:r>
          </w:p>
          <w:p w:rsidR="00DF1CD0" w:rsidRDefault="00E11052">
            <w:pPr>
              <w:pStyle w:val="af1"/>
              <w:numPr>
                <w:ilvl w:val="0"/>
                <w:numId w:val="13"/>
              </w:numPr>
              <w:spacing w:after="120"/>
              <w:rPr>
                <w:rFonts w:cs="Times"/>
                <w:sz w:val="20"/>
                <w:szCs w:val="20"/>
              </w:rPr>
            </w:pPr>
            <w:r>
              <w:rPr>
                <w:rFonts w:eastAsia="Calibri" w:cs="Times"/>
                <w:bCs/>
                <w:sz w:val="20"/>
                <w:szCs w:val="20"/>
              </w:rPr>
              <w:t xml:space="preserve">FFS: Support for implicit/explicit indication of the simultaneous </w:t>
            </w:r>
            <w:r>
              <w:rPr>
                <w:rFonts w:eastAsia="Calibri" w:cs="Times"/>
                <w:bCs/>
                <w:sz w:val="20"/>
                <w:szCs w:val="20"/>
              </w:rPr>
              <w:t>operation mode</w:t>
            </w:r>
          </w:p>
          <w:p w:rsidR="00DF1CD0" w:rsidRDefault="00E11052">
            <w:pPr>
              <w:spacing w:before="120" w:after="120"/>
              <w:rPr>
                <w:rFonts w:eastAsia="Times New Roman" w:cs="Times"/>
                <w:b/>
                <w:bCs/>
                <w:color w:val="222222"/>
                <w:sz w:val="20"/>
                <w:shd w:val="clear" w:color="auto" w:fill="00FF00"/>
                <w:lang w:eastAsia="ko-KR"/>
              </w:rPr>
            </w:pPr>
            <w:r>
              <w:rPr>
                <w:rFonts w:eastAsia="Times New Roman" w:cs="Times"/>
                <w:b/>
                <w:bCs/>
                <w:color w:val="222222"/>
                <w:sz w:val="20"/>
                <w:shd w:val="clear" w:color="auto" w:fill="00FF00"/>
                <w:lang w:eastAsia="ko-KR"/>
              </w:rPr>
              <w:t>Agreement</w:t>
            </w:r>
          </w:p>
          <w:p w:rsidR="00DF1CD0" w:rsidRDefault="00E11052">
            <w:pPr>
              <w:spacing w:before="120" w:after="120"/>
              <w:rPr>
                <w:rFonts w:eastAsia="Times New Roman" w:cs="Times"/>
                <w:color w:val="222222"/>
                <w:sz w:val="20"/>
                <w:lang w:eastAsia="ko-KR"/>
              </w:rPr>
            </w:pPr>
            <w:r>
              <w:rPr>
                <w:rFonts w:eastAsia="Times New Roman" w:cs="Times"/>
                <w:color w:val="222222"/>
                <w:sz w:val="20"/>
                <w:lang w:eastAsia="ko-KR"/>
              </w:rPr>
              <w:t>The child node indication of recommended beams to the parent node can include both IAB-MT DL beams and/or IAB-MT UL beams.</w:t>
            </w:r>
          </w:p>
          <w:p w:rsidR="00DF1CD0" w:rsidRDefault="00E11052">
            <w:pPr>
              <w:pStyle w:val="af1"/>
              <w:numPr>
                <w:ilvl w:val="0"/>
                <w:numId w:val="13"/>
              </w:numPr>
              <w:spacing w:after="120"/>
              <w:rPr>
                <w:rFonts w:eastAsia="Calibri" w:cs="Times"/>
                <w:bCs/>
                <w:sz w:val="20"/>
                <w:szCs w:val="20"/>
              </w:rPr>
            </w:pPr>
            <w:r>
              <w:rPr>
                <w:rFonts w:eastAsia="Calibri" w:cs="Times"/>
                <w:bCs/>
                <w:sz w:val="20"/>
                <w:szCs w:val="20"/>
              </w:rPr>
              <w:t>FFS: Indication via MAC-CE or UCI transmission</w:t>
            </w:r>
          </w:p>
          <w:p w:rsidR="00DF1CD0" w:rsidRDefault="00E11052">
            <w:pPr>
              <w:pStyle w:val="af1"/>
              <w:numPr>
                <w:ilvl w:val="0"/>
                <w:numId w:val="13"/>
              </w:numPr>
              <w:spacing w:after="120"/>
              <w:rPr>
                <w:rFonts w:eastAsia="Calibri" w:cs="Times"/>
                <w:bCs/>
                <w:sz w:val="20"/>
                <w:szCs w:val="20"/>
              </w:rPr>
            </w:pPr>
            <w:r>
              <w:rPr>
                <w:rFonts w:eastAsia="Calibri" w:cs="Times"/>
                <w:bCs/>
                <w:sz w:val="20"/>
                <w:szCs w:val="20"/>
              </w:rPr>
              <w:t>FFS: Definition of IAB-MT DL beams and/or IAB-MT UL beams (e.</w:t>
            </w:r>
            <w:r>
              <w:rPr>
                <w:rFonts w:eastAsia="Calibri" w:cs="Times"/>
                <w:bCs/>
                <w:sz w:val="20"/>
                <w:szCs w:val="20"/>
              </w:rPr>
              <w:t>g. TCI state ID, Spatial relation information ID, RS ID (including CSI-RS, SRS, SSB, etc.))</w:t>
            </w:r>
          </w:p>
          <w:p w:rsidR="00DF1CD0" w:rsidRDefault="00E11052">
            <w:pPr>
              <w:pStyle w:val="af1"/>
              <w:numPr>
                <w:ilvl w:val="0"/>
                <w:numId w:val="13"/>
              </w:numPr>
              <w:spacing w:after="120"/>
              <w:rPr>
                <w:rFonts w:eastAsia="Calibri" w:cs="Times"/>
                <w:bCs/>
                <w:sz w:val="20"/>
                <w:szCs w:val="20"/>
              </w:rPr>
            </w:pPr>
            <w:r>
              <w:rPr>
                <w:rFonts w:eastAsia="Calibri" w:cs="Times"/>
                <w:bCs/>
                <w:sz w:val="20"/>
                <w:szCs w:val="20"/>
              </w:rPr>
              <w:t>FFS: Whether indication of “not preferred” beams is supported</w:t>
            </w:r>
          </w:p>
          <w:p w:rsidR="00DF1CD0" w:rsidRDefault="00DF1CD0">
            <w:pPr>
              <w:widowControl w:val="0"/>
              <w:spacing w:before="120" w:after="120"/>
              <w:rPr>
                <w:sz w:val="20"/>
              </w:rPr>
            </w:pPr>
          </w:p>
          <w:p w:rsidR="00DF1CD0" w:rsidRDefault="00E11052">
            <w:pPr>
              <w:spacing w:before="120" w:after="120"/>
              <w:rPr>
                <w:rFonts w:cs="Times"/>
                <w:b/>
                <w:sz w:val="20"/>
              </w:rPr>
            </w:pPr>
            <w:r>
              <w:rPr>
                <w:rFonts w:cs="Times"/>
                <w:b/>
                <w:sz w:val="20"/>
                <w:highlight w:val="green"/>
              </w:rPr>
              <w:t>Agreement</w:t>
            </w:r>
          </w:p>
          <w:p w:rsidR="00DF1CD0" w:rsidRDefault="00E11052">
            <w:pPr>
              <w:spacing w:before="120" w:after="120"/>
              <w:rPr>
                <w:rFonts w:cs="Times"/>
                <w:sz w:val="20"/>
              </w:rPr>
            </w:pPr>
            <w:r>
              <w:rPr>
                <w:rFonts w:cs="Times"/>
                <w:bCs/>
                <w:sz w:val="20"/>
              </w:rPr>
              <w:t>MAC-CE signaling from a parent node is supported for indication of beams of an IAB-DU in th</w:t>
            </w:r>
            <w:r>
              <w:rPr>
                <w:rFonts w:cs="Times"/>
                <w:bCs/>
                <w:sz w:val="20"/>
              </w:rPr>
              <w:t>e direction of which simultaneous operation is restricted</w:t>
            </w:r>
          </w:p>
          <w:p w:rsidR="00DF1CD0" w:rsidRDefault="00E11052">
            <w:pPr>
              <w:numPr>
                <w:ilvl w:val="0"/>
                <w:numId w:val="14"/>
              </w:numPr>
              <w:spacing w:before="120" w:after="120"/>
              <w:rPr>
                <w:rFonts w:eastAsia="Times New Roman" w:cs="Times"/>
                <w:sz w:val="20"/>
              </w:rPr>
            </w:pPr>
            <w:r>
              <w:rPr>
                <w:rFonts w:eastAsia="Times New Roman" w:cs="Times"/>
                <w:bCs/>
                <w:sz w:val="20"/>
              </w:rPr>
              <w:t>FFS: Details of beam indication (e.g. TCI state ID, Spatial relation information ID, RS ID (including CSI-RS, SRS, SSB, etc.))</w:t>
            </w:r>
          </w:p>
          <w:p w:rsidR="00DF1CD0" w:rsidRDefault="00E11052">
            <w:pPr>
              <w:numPr>
                <w:ilvl w:val="0"/>
                <w:numId w:val="14"/>
              </w:numPr>
              <w:spacing w:before="120" w:after="120"/>
              <w:rPr>
                <w:rFonts w:eastAsia="Times New Roman" w:cs="Times"/>
                <w:sz w:val="20"/>
              </w:rPr>
            </w:pPr>
            <w:r>
              <w:rPr>
                <w:rFonts w:eastAsia="Times New Roman" w:cs="Times"/>
                <w:bCs/>
                <w:sz w:val="20"/>
              </w:rPr>
              <w:t>FFS: Applicability to other beams</w:t>
            </w:r>
          </w:p>
          <w:p w:rsidR="00DF1CD0" w:rsidRDefault="00DF1CD0">
            <w:pPr>
              <w:widowControl w:val="0"/>
              <w:spacing w:before="120" w:after="120"/>
              <w:rPr>
                <w:sz w:val="20"/>
              </w:rPr>
            </w:pPr>
          </w:p>
        </w:tc>
      </w:tr>
    </w:tbl>
    <w:p w:rsidR="00DF1CD0" w:rsidRDefault="00E11052">
      <w:pPr>
        <w:numPr>
          <w:ilvl w:val="255"/>
          <w:numId w:val="0"/>
        </w:numPr>
        <w:spacing w:before="120" w:after="120"/>
        <w:rPr>
          <w:sz w:val="20"/>
        </w:rPr>
      </w:pPr>
      <w:r>
        <w:rPr>
          <w:rFonts w:cs="Times" w:hint="eastAsia"/>
          <w:color w:val="222222"/>
          <w:sz w:val="20"/>
        </w:rPr>
        <w:t xml:space="preserve">The </w:t>
      </w:r>
      <w:r>
        <w:rPr>
          <w:rFonts w:eastAsia="Times New Roman" w:cs="Times"/>
          <w:color w:val="222222"/>
          <w:sz w:val="20"/>
          <w:lang w:eastAsia="ko-KR"/>
        </w:rPr>
        <w:t>recommended beams</w:t>
      </w:r>
      <w:r>
        <w:rPr>
          <w:rFonts w:cs="Times" w:hint="eastAsia"/>
          <w:color w:val="222222"/>
          <w:sz w:val="20"/>
        </w:rPr>
        <w:t xml:space="preserve"> indicated by t</w:t>
      </w:r>
      <w:r>
        <w:rPr>
          <w:rFonts w:eastAsia="Times New Roman" w:cs="Times"/>
          <w:color w:val="222222"/>
          <w:sz w:val="20"/>
          <w:lang w:eastAsia="ko-KR"/>
        </w:rPr>
        <w:t>he child node</w:t>
      </w:r>
      <w:r>
        <w:rPr>
          <w:rFonts w:cs="Times" w:hint="eastAsia"/>
          <w:color w:val="222222"/>
          <w:sz w:val="20"/>
        </w:rPr>
        <w:t xml:space="preserve"> by MAC CE signalling has less specification impact than by UCI because indication via UCI requires additionally considering UCI resource configuration, UCI multiplexing etc.</w:t>
      </w:r>
    </w:p>
    <w:p w:rsidR="00DF1CD0" w:rsidRDefault="00E11052">
      <w:pPr>
        <w:pStyle w:val="YJ-Proposal"/>
        <w:spacing w:before="120" w:after="120"/>
        <w:rPr>
          <w:lang w:val="en-US" w:eastAsia="zh-CN"/>
        </w:rPr>
      </w:pPr>
      <w:r>
        <w:t xml:space="preserve"> </w:t>
      </w:r>
      <w:bookmarkStart w:id="78" w:name="_Toc19942"/>
      <w:bookmarkStart w:id="79" w:name="_Toc18360"/>
      <w:bookmarkStart w:id="80" w:name="_Toc4275"/>
      <w:bookmarkStart w:id="81" w:name="_Toc83923112"/>
      <w:r>
        <w:rPr>
          <w:rFonts w:hint="eastAsia"/>
          <w:lang w:val="en-US" w:eastAsia="zh-CN"/>
        </w:rPr>
        <w:t xml:space="preserve">The IAB-node MT indicates recommended beams to its </w:t>
      </w:r>
      <w:r>
        <w:rPr>
          <w:rFonts w:hint="eastAsia"/>
          <w:lang w:val="en-US" w:eastAsia="zh-CN"/>
        </w:rPr>
        <w:t>parent node by MAC CE signalling</w:t>
      </w:r>
      <w:r>
        <w:t>.</w:t>
      </w:r>
      <w:bookmarkEnd w:id="78"/>
      <w:bookmarkEnd w:id="79"/>
      <w:bookmarkEnd w:id="80"/>
      <w:bookmarkEnd w:id="81"/>
    </w:p>
    <w:p w:rsidR="00DF1CD0" w:rsidRDefault="00E11052">
      <w:pPr>
        <w:numPr>
          <w:ilvl w:val="255"/>
          <w:numId w:val="0"/>
        </w:numPr>
        <w:spacing w:before="120" w:after="120"/>
        <w:rPr>
          <w:sz w:val="20"/>
        </w:rPr>
      </w:pPr>
      <w:bookmarkStart w:id="82" w:name="_Toc5629"/>
      <w:bookmarkStart w:id="83" w:name="_Toc32104"/>
      <w:r>
        <w:rPr>
          <w:rFonts w:hint="eastAsia"/>
          <w:sz w:val="20"/>
        </w:rPr>
        <w:t xml:space="preserve">In </w:t>
      </w:r>
      <w:r>
        <w:rPr>
          <w:rFonts w:hint="eastAsia"/>
          <w:sz w:val="20"/>
        </w:rPr>
        <w:t>NR Rel-16, serving cell can provide DL Tx beam information to UEs/MTs by indicating TCI state ID associating one or two DL reference signals, and provide UL Tx beam information to UEs/MTs by indicating SRI. In our view,</w:t>
      </w:r>
      <w:r>
        <w:rPr>
          <w:rFonts w:hint="eastAsia"/>
          <w:sz w:val="20"/>
        </w:rPr>
        <w:t xml:space="preserve"> this mechanism can be reused in the IAB-node MT reporting recommended beams to its parent node.</w:t>
      </w:r>
      <w:bookmarkEnd w:id="82"/>
      <w:bookmarkEnd w:id="83"/>
    </w:p>
    <w:p w:rsidR="00DF1CD0" w:rsidRDefault="00E11052">
      <w:pPr>
        <w:pStyle w:val="YJ-Proposal"/>
        <w:spacing w:before="120" w:after="120"/>
      </w:pPr>
      <w:bookmarkStart w:id="84" w:name="_Toc8895"/>
      <w:bookmarkStart w:id="85" w:name="_Toc5573"/>
      <w:bookmarkStart w:id="86" w:name="_Toc20132"/>
      <w:bookmarkStart w:id="87" w:name="_Toc83923113"/>
      <w:r>
        <w:rPr>
          <w:rFonts w:hint="eastAsia"/>
          <w:lang w:val="en-US" w:eastAsia="zh-CN"/>
        </w:rPr>
        <w:t>For the child node indication of recommended beams, IAB-MT DL beams are defined by TCI state ID, IAB-MT UL beams are defined by SRI</w:t>
      </w:r>
      <w:r>
        <w:t>.</w:t>
      </w:r>
      <w:bookmarkEnd w:id="84"/>
      <w:bookmarkEnd w:id="85"/>
      <w:bookmarkEnd w:id="86"/>
      <w:bookmarkEnd w:id="87"/>
    </w:p>
    <w:p w:rsidR="00DF1CD0" w:rsidRDefault="00E11052">
      <w:pPr>
        <w:numPr>
          <w:ilvl w:val="255"/>
          <w:numId w:val="0"/>
        </w:numPr>
        <w:spacing w:before="120" w:after="120"/>
        <w:rPr>
          <w:sz w:val="20"/>
        </w:rPr>
      </w:pPr>
      <w:r>
        <w:rPr>
          <w:rFonts w:hint="eastAsia"/>
          <w:sz w:val="20"/>
        </w:rPr>
        <w:t>In beam management, IAB no</w:t>
      </w:r>
      <w:r>
        <w:rPr>
          <w:rFonts w:hint="eastAsia"/>
          <w:sz w:val="20"/>
        </w:rPr>
        <w:t xml:space="preserve">de can report several DL Tx beams with the best measurement quality by measuring DL RS, and parent node of the IAB node can know which UL Tx beams should be used by measuring SRS from the IAB node. When the IAB node indicates the preferred beams </w:t>
      </w:r>
      <w:r>
        <w:rPr>
          <w:rFonts w:hint="eastAsia"/>
          <w:sz w:val="20"/>
        </w:rPr>
        <w:t xml:space="preserve">or </w:t>
      </w:r>
      <w:r>
        <w:rPr>
          <w:rFonts w:hint="eastAsia"/>
          <w:sz w:val="20"/>
        </w:rPr>
        <w:t>the not</w:t>
      </w:r>
      <w:r>
        <w:rPr>
          <w:rFonts w:hint="eastAsia"/>
          <w:sz w:val="20"/>
        </w:rPr>
        <w:t xml:space="preserve"> preferred beams for MT of IAB node, </w:t>
      </w:r>
      <w:r>
        <w:rPr>
          <w:sz w:val="20"/>
        </w:rPr>
        <w:t>the parent node can know another kind of beams according to the IAB node’s indication and beam management procedure</w:t>
      </w:r>
      <w:r>
        <w:rPr>
          <w:rFonts w:hint="eastAsia"/>
          <w:sz w:val="20"/>
        </w:rPr>
        <w:t>.</w:t>
      </w:r>
      <w:r>
        <w:rPr>
          <w:rFonts w:hint="eastAsia"/>
          <w:sz w:val="20"/>
        </w:rPr>
        <w:t xml:space="preserve"> Since it has been agreed that </w:t>
      </w:r>
      <w:r w:rsidR="008A33C7">
        <w:rPr>
          <w:rFonts w:hint="eastAsia"/>
          <w:sz w:val="20"/>
        </w:rPr>
        <w:t xml:space="preserve">the IAB node indicates the </w:t>
      </w:r>
      <w:r>
        <w:rPr>
          <w:rFonts w:hint="eastAsia"/>
          <w:sz w:val="20"/>
        </w:rPr>
        <w:t>preferred beams</w:t>
      </w:r>
      <w:r>
        <w:rPr>
          <w:rFonts w:hint="eastAsia"/>
          <w:sz w:val="20"/>
        </w:rPr>
        <w:t xml:space="preserve"> </w:t>
      </w:r>
      <w:r>
        <w:rPr>
          <w:rFonts w:hint="eastAsia"/>
          <w:sz w:val="20"/>
        </w:rPr>
        <w:t>for IAB</w:t>
      </w:r>
      <w:r>
        <w:rPr>
          <w:rFonts w:hint="eastAsia"/>
          <w:sz w:val="20"/>
        </w:rPr>
        <w:t>-</w:t>
      </w:r>
      <w:r>
        <w:rPr>
          <w:rFonts w:hint="eastAsia"/>
          <w:sz w:val="20"/>
        </w:rPr>
        <w:t>node</w:t>
      </w:r>
      <w:r>
        <w:rPr>
          <w:rFonts w:hint="eastAsia"/>
          <w:sz w:val="20"/>
        </w:rPr>
        <w:t xml:space="preserve"> MT to its pa</w:t>
      </w:r>
      <w:r>
        <w:rPr>
          <w:rFonts w:hint="eastAsia"/>
          <w:sz w:val="20"/>
        </w:rPr>
        <w:t>rent node</w:t>
      </w:r>
      <w:r>
        <w:rPr>
          <w:rFonts w:hint="eastAsia"/>
          <w:sz w:val="20"/>
        </w:rPr>
        <w:t xml:space="preserve">, </w:t>
      </w:r>
      <w:r w:rsidR="008A33C7">
        <w:rPr>
          <w:rFonts w:hint="eastAsia"/>
          <w:sz w:val="20"/>
        </w:rPr>
        <w:t xml:space="preserve">it is not necessary to </w:t>
      </w:r>
      <w:r>
        <w:rPr>
          <w:rFonts w:hint="eastAsia"/>
          <w:sz w:val="20"/>
        </w:rPr>
        <w:t xml:space="preserve">indicate the </w:t>
      </w:r>
      <w:r>
        <w:rPr>
          <w:sz w:val="20"/>
        </w:rPr>
        <w:t>“</w:t>
      </w:r>
      <w:r>
        <w:rPr>
          <w:rFonts w:hint="eastAsia"/>
          <w:sz w:val="20"/>
        </w:rPr>
        <w:t>not preferred</w:t>
      </w:r>
      <w:r>
        <w:rPr>
          <w:sz w:val="20"/>
        </w:rPr>
        <w:t>”</w:t>
      </w:r>
      <w:r>
        <w:rPr>
          <w:rFonts w:hint="eastAsia"/>
          <w:sz w:val="20"/>
        </w:rPr>
        <w:t xml:space="preserve"> beams at the same time.</w:t>
      </w:r>
    </w:p>
    <w:p w:rsidR="00DF1CD0" w:rsidRDefault="00E11052">
      <w:pPr>
        <w:pStyle w:val="YJ-Observation"/>
        <w:spacing w:before="120" w:after="120"/>
        <w:rPr>
          <w:lang w:val="en-US" w:eastAsia="zh-CN"/>
        </w:rPr>
      </w:pPr>
      <w:bookmarkStart w:id="88" w:name="_Toc83923100"/>
      <w:r>
        <w:rPr>
          <w:rFonts w:hint="eastAsia"/>
          <w:lang w:val="en-US" w:eastAsia="zh-CN"/>
        </w:rPr>
        <w:t>It is sufficient to indicate the preferred beams for IAB node MT to its parent node.</w:t>
      </w:r>
      <w:bookmarkEnd w:id="88"/>
    </w:p>
    <w:p w:rsidR="00DF1CD0" w:rsidRDefault="00E11052">
      <w:pPr>
        <w:pStyle w:val="YJ-Proposal"/>
        <w:spacing w:before="120" w:after="120"/>
        <w:rPr>
          <w:lang w:val="en-US" w:eastAsia="zh-CN"/>
        </w:rPr>
      </w:pPr>
      <w:bookmarkStart w:id="89" w:name="_Toc27372"/>
      <w:bookmarkStart w:id="90" w:name="_Toc12634"/>
      <w:bookmarkStart w:id="91" w:name="_Toc19318"/>
      <w:bookmarkStart w:id="92" w:name="_Toc7219"/>
      <w:bookmarkStart w:id="93" w:name="_Toc24671"/>
      <w:bookmarkStart w:id="94" w:name="_Toc79164580"/>
      <w:bookmarkStart w:id="95" w:name="_Toc5452"/>
      <w:bookmarkStart w:id="96" w:name="_Toc23298"/>
      <w:bookmarkStart w:id="97" w:name="_Toc9509"/>
      <w:bookmarkStart w:id="98" w:name="_Toc83923114"/>
      <w:r>
        <w:rPr>
          <w:rFonts w:hint="eastAsia"/>
          <w:lang w:val="en-US" w:eastAsia="zh-CN"/>
        </w:rPr>
        <w:t xml:space="preserve">Indication of IAB MT </w:t>
      </w:r>
      <w:r>
        <w:rPr>
          <w:lang w:val="en-US" w:eastAsia="zh-CN"/>
        </w:rPr>
        <w:t>“</w:t>
      </w:r>
      <w:r>
        <w:rPr>
          <w:rFonts w:hint="eastAsia"/>
          <w:lang w:val="en-US" w:eastAsia="zh-CN"/>
        </w:rPr>
        <w:t>not preferred</w:t>
      </w:r>
      <w:r>
        <w:rPr>
          <w:lang w:val="en-US" w:eastAsia="zh-CN"/>
        </w:rPr>
        <w:t>”</w:t>
      </w:r>
      <w:r>
        <w:rPr>
          <w:rFonts w:hint="eastAsia"/>
          <w:lang w:val="en-US" w:eastAsia="zh-CN"/>
        </w:rPr>
        <w:t xml:space="preserve"> beams to its parent node is not supported</w:t>
      </w:r>
      <w:bookmarkEnd w:id="89"/>
      <w:bookmarkEnd w:id="90"/>
      <w:bookmarkEnd w:id="91"/>
      <w:bookmarkEnd w:id="92"/>
      <w:bookmarkEnd w:id="93"/>
      <w:bookmarkEnd w:id="94"/>
      <w:bookmarkEnd w:id="95"/>
      <w:bookmarkEnd w:id="96"/>
      <w:bookmarkEnd w:id="97"/>
      <w:r>
        <w:rPr>
          <w:rFonts w:hint="eastAsia"/>
          <w:lang w:val="en-US" w:eastAsia="zh-CN"/>
        </w:rPr>
        <w:t>.</w:t>
      </w:r>
      <w:bookmarkEnd w:id="98"/>
      <w:r>
        <w:rPr>
          <w:rFonts w:hint="eastAsia"/>
          <w:lang w:val="en-US" w:eastAsia="zh-CN"/>
        </w:rPr>
        <w:t xml:space="preserve"> </w:t>
      </w:r>
    </w:p>
    <w:p w:rsidR="00DF1CD0" w:rsidRDefault="00E11052">
      <w:pPr>
        <w:numPr>
          <w:ilvl w:val="255"/>
          <w:numId w:val="0"/>
        </w:numPr>
        <w:spacing w:before="120" w:after="120"/>
        <w:rPr>
          <w:rFonts w:cs="Times"/>
          <w:sz w:val="20"/>
        </w:rPr>
      </w:pPr>
      <w:r>
        <w:rPr>
          <w:rFonts w:cs="Times" w:hint="eastAsia"/>
          <w:sz w:val="20"/>
        </w:rPr>
        <w:t xml:space="preserve">A parent node does not know </w:t>
      </w:r>
      <w:r>
        <w:rPr>
          <w:rFonts w:eastAsia="Times New Roman" w:cs="Times"/>
          <w:bCs/>
          <w:sz w:val="20"/>
        </w:rPr>
        <w:t>TCI state</w:t>
      </w:r>
      <w:r>
        <w:rPr>
          <w:rFonts w:eastAsia="Times New Roman" w:cs="Times" w:hint="eastAsia"/>
          <w:bCs/>
          <w:sz w:val="20"/>
        </w:rPr>
        <w:t xml:space="preserve"> information and </w:t>
      </w:r>
      <w:r>
        <w:rPr>
          <w:rFonts w:eastAsia="Times New Roman" w:cs="Times"/>
          <w:bCs/>
          <w:sz w:val="20"/>
        </w:rPr>
        <w:t>s</w:t>
      </w:r>
      <w:r>
        <w:rPr>
          <w:rFonts w:eastAsia="Times New Roman" w:cs="Times"/>
          <w:bCs/>
          <w:sz w:val="20"/>
        </w:rPr>
        <w:t>patial relation information</w:t>
      </w:r>
      <w:r>
        <w:rPr>
          <w:rFonts w:eastAsia="Times New Roman" w:cs="Times" w:hint="eastAsia"/>
          <w:bCs/>
          <w:sz w:val="20"/>
        </w:rPr>
        <w:t xml:space="preserve"> of its child nodes. If a parent node indicates res</w:t>
      </w:r>
      <w:r>
        <w:rPr>
          <w:rFonts w:cs="Times" w:hint="eastAsia"/>
          <w:sz w:val="20"/>
        </w:rPr>
        <w:t xml:space="preserve">triction of beam of its child IAB-node DU by </w:t>
      </w:r>
      <w:r>
        <w:rPr>
          <w:rFonts w:eastAsia="Times New Roman" w:cs="Times"/>
          <w:bCs/>
          <w:sz w:val="20"/>
        </w:rPr>
        <w:t>TCI state</w:t>
      </w:r>
      <w:r>
        <w:rPr>
          <w:rFonts w:eastAsia="Times New Roman" w:cs="Times" w:hint="eastAsia"/>
          <w:bCs/>
          <w:sz w:val="20"/>
        </w:rPr>
        <w:t xml:space="preserve"> ID or </w:t>
      </w:r>
      <w:r>
        <w:rPr>
          <w:rFonts w:eastAsia="Times New Roman" w:cs="Times"/>
          <w:bCs/>
          <w:sz w:val="20"/>
        </w:rPr>
        <w:t>Spatial relation information</w:t>
      </w:r>
      <w:r>
        <w:rPr>
          <w:rFonts w:eastAsia="Times New Roman" w:cs="Times" w:hint="eastAsia"/>
          <w:bCs/>
          <w:sz w:val="20"/>
        </w:rPr>
        <w:t xml:space="preserve"> ID</w:t>
      </w:r>
      <w:r>
        <w:rPr>
          <w:rFonts w:cs="Times" w:hint="eastAsia"/>
          <w:sz w:val="20"/>
        </w:rPr>
        <w:t>, the parent node must at least</w:t>
      </w:r>
      <w:r>
        <w:rPr>
          <w:rFonts w:cs="Times" w:hint="eastAsia"/>
          <w:sz w:val="20"/>
        </w:rPr>
        <w:t xml:space="preserve"> obtain these information, which will lead to additional standardization.</w:t>
      </w:r>
    </w:p>
    <w:p w:rsidR="00DF1CD0" w:rsidRDefault="00E11052">
      <w:pPr>
        <w:numPr>
          <w:ilvl w:val="255"/>
          <w:numId w:val="0"/>
        </w:numPr>
        <w:spacing w:before="120" w:after="120"/>
        <w:rPr>
          <w:sz w:val="20"/>
        </w:rPr>
      </w:pPr>
      <w:r>
        <w:rPr>
          <w:rFonts w:cs="Times" w:hint="eastAsia"/>
          <w:sz w:val="20"/>
        </w:rPr>
        <w:t>A parent node can measure the SSBs to obtain r</w:t>
      </w:r>
      <w:r>
        <w:rPr>
          <w:rFonts w:eastAsia="Times New Roman" w:cs="Times" w:hint="eastAsia"/>
          <w:bCs/>
          <w:sz w:val="20"/>
        </w:rPr>
        <w:t>es</w:t>
      </w:r>
      <w:r>
        <w:rPr>
          <w:rFonts w:cs="Times" w:hint="eastAsia"/>
          <w:sz w:val="20"/>
        </w:rPr>
        <w:t xml:space="preserve">tricted beams of its child IAB-node DU. Therefore, we propose that the parent node indicates </w:t>
      </w:r>
      <w:r>
        <w:rPr>
          <w:rFonts w:eastAsia="Times New Roman" w:cs="Times" w:hint="eastAsia"/>
          <w:bCs/>
          <w:sz w:val="20"/>
        </w:rPr>
        <w:t>res</w:t>
      </w:r>
      <w:r>
        <w:rPr>
          <w:rFonts w:cs="Times" w:hint="eastAsia"/>
          <w:sz w:val="20"/>
        </w:rPr>
        <w:t>triction of beam of its child IAB-node</w:t>
      </w:r>
      <w:r>
        <w:rPr>
          <w:rFonts w:cs="Times" w:hint="eastAsia"/>
          <w:sz w:val="20"/>
        </w:rPr>
        <w:t xml:space="preserve"> DU by RS ID.</w:t>
      </w:r>
    </w:p>
    <w:p w:rsidR="00DF1CD0" w:rsidRDefault="00E11052">
      <w:pPr>
        <w:pStyle w:val="YJ-Proposal"/>
        <w:spacing w:before="120" w:after="120"/>
        <w:rPr>
          <w:lang w:val="en-US" w:eastAsia="zh-CN"/>
        </w:rPr>
      </w:pPr>
      <w:r>
        <w:t xml:space="preserve"> </w:t>
      </w:r>
      <w:bookmarkStart w:id="99" w:name="_Toc79164581"/>
      <w:bookmarkStart w:id="100" w:name="_Toc22514"/>
      <w:bookmarkStart w:id="101" w:name="_Toc13028"/>
      <w:bookmarkStart w:id="102" w:name="_Toc17036"/>
      <w:bookmarkStart w:id="103" w:name="_Toc9490"/>
      <w:bookmarkStart w:id="104" w:name="_Toc847"/>
      <w:bookmarkStart w:id="105" w:name="_Toc25831"/>
      <w:bookmarkStart w:id="106" w:name="_Toc2011"/>
      <w:bookmarkStart w:id="107" w:name="_Toc19114"/>
      <w:bookmarkStart w:id="108" w:name="_Toc83923115"/>
      <w:r>
        <w:rPr>
          <w:rFonts w:cs="Times" w:hint="eastAsia"/>
          <w:lang w:val="en-US" w:eastAsia="zh-CN"/>
        </w:rPr>
        <w:t>R</w:t>
      </w:r>
      <w:r>
        <w:rPr>
          <w:rFonts w:eastAsia="Times New Roman" w:cs="Times" w:hint="eastAsia"/>
          <w:lang w:val="en-US" w:eastAsia="zh-CN"/>
        </w:rPr>
        <w:t>es</w:t>
      </w:r>
      <w:r>
        <w:rPr>
          <w:rFonts w:cs="Times" w:hint="eastAsia"/>
          <w:lang w:val="en-US" w:eastAsia="zh-CN"/>
        </w:rPr>
        <w:t>tricted beams of its child IAB-node DU indicated by parent node are defined by RS ID (e.g.,</w:t>
      </w:r>
      <w:r>
        <w:rPr>
          <w:rFonts w:hint="eastAsia"/>
          <w:lang w:val="en-US" w:eastAsia="zh-CN"/>
        </w:rPr>
        <w:t xml:space="preserve"> SSB index</w:t>
      </w:r>
      <w:r>
        <w:rPr>
          <w:rFonts w:cs="Times" w:hint="eastAsia"/>
          <w:lang w:val="en-US" w:eastAsia="zh-CN"/>
        </w:rPr>
        <w:t>)</w:t>
      </w:r>
      <w:r>
        <w:t>.</w:t>
      </w:r>
      <w:bookmarkEnd w:id="99"/>
      <w:bookmarkEnd w:id="100"/>
      <w:bookmarkEnd w:id="101"/>
      <w:bookmarkEnd w:id="102"/>
      <w:bookmarkEnd w:id="103"/>
      <w:bookmarkEnd w:id="104"/>
      <w:bookmarkEnd w:id="105"/>
      <w:bookmarkEnd w:id="106"/>
      <w:bookmarkEnd w:id="107"/>
      <w:bookmarkEnd w:id="108"/>
    </w:p>
    <w:p w:rsidR="00DF1CD0" w:rsidRDefault="00E11052">
      <w:pPr>
        <w:pStyle w:val="2"/>
        <w:spacing w:before="120" w:after="120"/>
        <w:ind w:left="991" w:right="210" w:hangingChars="354" w:hanging="991"/>
        <w:rPr>
          <w:rFonts w:cs="Arial"/>
          <w:szCs w:val="28"/>
        </w:rPr>
      </w:pPr>
      <w:r>
        <w:rPr>
          <w:rFonts w:eastAsia="宋体" w:cs="Arial" w:hint="eastAsia"/>
          <w:szCs w:val="28"/>
        </w:rPr>
        <w:t>The timing mode indication</w:t>
      </w:r>
    </w:p>
    <w:p w:rsidR="00DF1CD0" w:rsidRDefault="00E11052">
      <w:pPr>
        <w:widowControl w:val="0"/>
        <w:spacing w:before="120" w:after="120"/>
        <w:rPr>
          <w:sz w:val="20"/>
        </w:rPr>
      </w:pPr>
      <w:r>
        <w:rPr>
          <w:sz w:val="20"/>
        </w:rPr>
        <w:t>The following agreement</w:t>
      </w:r>
      <w:r>
        <w:rPr>
          <w:rFonts w:hint="eastAsia"/>
          <w:sz w:val="20"/>
        </w:rPr>
        <w:t xml:space="preserve"> and conclusion</w:t>
      </w:r>
      <w:r>
        <w:rPr>
          <w:sz w:val="20"/>
        </w:rPr>
        <w:t xml:space="preserve"> have been made in RAN1#10</w:t>
      </w:r>
      <w:r>
        <w:rPr>
          <w:rFonts w:hint="eastAsia"/>
          <w:sz w:val="20"/>
        </w:rPr>
        <w:t>6</w:t>
      </w:r>
      <w:r>
        <w:rPr>
          <w:sz w:val="20"/>
        </w:rPr>
        <w:t xml:space="preserve">-e on </w:t>
      </w:r>
      <w:r>
        <w:rPr>
          <w:rFonts w:hint="eastAsia"/>
          <w:sz w:val="20"/>
        </w:rPr>
        <w:t xml:space="preserve">timing </w:t>
      </w:r>
      <w:r>
        <w:rPr>
          <w:sz w:val="20"/>
        </w:rPr>
        <w:t>[1]:</w:t>
      </w:r>
    </w:p>
    <w:tbl>
      <w:tblPr>
        <w:tblStyle w:val="ac"/>
        <w:tblW w:w="0" w:type="auto"/>
        <w:tblLook w:val="04A0" w:firstRow="1" w:lastRow="0" w:firstColumn="1" w:lastColumn="0" w:noHBand="0" w:noVBand="1"/>
      </w:tblPr>
      <w:tblGrid>
        <w:gridCol w:w="9876"/>
      </w:tblGrid>
      <w:tr w:rsidR="00DF1CD0">
        <w:trPr>
          <w:trHeight w:val="1120"/>
        </w:trPr>
        <w:tc>
          <w:tcPr>
            <w:tcW w:w="9876" w:type="dxa"/>
          </w:tcPr>
          <w:p w:rsidR="00DF1CD0" w:rsidRDefault="00E11052">
            <w:pPr>
              <w:spacing w:before="120" w:after="120"/>
              <w:rPr>
                <w:rFonts w:cs="Times"/>
                <w:b/>
                <w:bCs/>
                <w:sz w:val="20"/>
                <w:highlight w:val="green"/>
              </w:rPr>
            </w:pPr>
            <w:r>
              <w:rPr>
                <w:rFonts w:cs="Times"/>
                <w:b/>
                <w:bCs/>
                <w:sz w:val="20"/>
                <w:highlight w:val="green"/>
              </w:rPr>
              <w:t>Agreement</w:t>
            </w:r>
          </w:p>
          <w:p w:rsidR="00DF1CD0" w:rsidRDefault="00E11052">
            <w:pPr>
              <w:spacing w:before="120" w:after="120"/>
              <w:rPr>
                <w:rFonts w:cs="Times"/>
                <w:sz w:val="20"/>
                <w:lang w:eastAsia="ja-JP"/>
              </w:rPr>
            </w:pPr>
            <w:r>
              <w:rPr>
                <w:rFonts w:cs="Times"/>
                <w:sz w:val="20"/>
                <w:lang w:eastAsia="ja-JP"/>
              </w:rPr>
              <w:t>An IAB-node is</w:t>
            </w:r>
            <w:r>
              <w:rPr>
                <w:rFonts w:cs="Times"/>
                <w:sz w:val="20"/>
                <w:lang w:eastAsia="ja-JP"/>
              </w:rPr>
              <w:t xml:space="preserve"> explicitly indicated by the parent node when Case 6 timing is performed at</w:t>
            </w:r>
            <w:r>
              <w:rPr>
                <w:rStyle w:val="apple-converted-space"/>
                <w:rFonts w:cs="Times"/>
                <w:sz w:val="20"/>
                <w:lang w:eastAsia="ja-JP"/>
              </w:rPr>
              <w:t> </w:t>
            </w:r>
            <w:r>
              <w:rPr>
                <w:rFonts w:cs="Times"/>
                <w:sz w:val="20"/>
                <w:lang w:eastAsia="ja-JP"/>
              </w:rPr>
              <w:t>the IAB-node at least for</w:t>
            </w:r>
            <w:r>
              <w:rPr>
                <w:rStyle w:val="apple-converted-space"/>
                <w:rFonts w:cs="Times"/>
                <w:sz w:val="20"/>
                <w:lang w:eastAsia="ja-JP"/>
              </w:rPr>
              <w:t> </w:t>
            </w:r>
            <w:r>
              <w:rPr>
                <w:rFonts w:cs="Times"/>
                <w:sz w:val="20"/>
                <w:lang w:eastAsia="ja-JP"/>
              </w:rPr>
              <w:t>specific time</w:t>
            </w:r>
            <w:r>
              <w:rPr>
                <w:rStyle w:val="apple-converted-space"/>
                <w:rFonts w:cs="Times"/>
                <w:sz w:val="20"/>
                <w:lang w:eastAsia="ja-JP"/>
              </w:rPr>
              <w:t> </w:t>
            </w:r>
            <w:r>
              <w:rPr>
                <w:rFonts w:cs="Times"/>
                <w:sz w:val="20"/>
                <w:lang w:eastAsia="ja-JP"/>
              </w:rPr>
              <w:t>resources.</w:t>
            </w:r>
          </w:p>
          <w:p w:rsidR="00DF1CD0" w:rsidRDefault="00E11052">
            <w:pPr>
              <w:pStyle w:val="af1"/>
              <w:numPr>
                <w:ilvl w:val="0"/>
                <w:numId w:val="15"/>
              </w:numPr>
              <w:spacing w:after="120"/>
              <w:rPr>
                <w:rFonts w:cs="Times"/>
                <w:sz w:val="20"/>
                <w:szCs w:val="20"/>
                <w:lang w:eastAsia="ja-JP"/>
              </w:rPr>
            </w:pPr>
            <w:r>
              <w:rPr>
                <w:rFonts w:cs="Times"/>
                <w:sz w:val="20"/>
                <w:szCs w:val="20"/>
                <w:lang w:eastAsia="ja-JP"/>
              </w:rPr>
              <w:t>FFS: whether the indication should be associated with another dimensions, e.g. multiplexing cases</w:t>
            </w:r>
          </w:p>
          <w:p w:rsidR="00DF1CD0" w:rsidRDefault="00E11052">
            <w:pPr>
              <w:pStyle w:val="af1"/>
              <w:numPr>
                <w:ilvl w:val="0"/>
                <w:numId w:val="15"/>
              </w:numPr>
              <w:spacing w:after="120"/>
              <w:rPr>
                <w:rFonts w:cs="Times"/>
                <w:sz w:val="20"/>
                <w:szCs w:val="20"/>
                <w:lang w:eastAsia="ja-JP"/>
              </w:rPr>
            </w:pPr>
            <w:r>
              <w:rPr>
                <w:rFonts w:cs="Times"/>
                <w:sz w:val="20"/>
                <w:szCs w:val="20"/>
                <w:lang w:eastAsia="ja-JP"/>
              </w:rPr>
              <w:t>FFS whether an IAB-node is expl</w:t>
            </w:r>
            <w:r>
              <w:rPr>
                <w:rFonts w:cs="Times"/>
                <w:sz w:val="20"/>
                <w:szCs w:val="20"/>
                <w:lang w:eastAsia="ja-JP"/>
              </w:rPr>
              <w:t>icitly indicated by the parent node when Case 7 timing is performed at the IAB-node.</w:t>
            </w:r>
          </w:p>
          <w:p w:rsidR="00DF1CD0" w:rsidRDefault="00DF1CD0">
            <w:pPr>
              <w:spacing w:before="120" w:after="120"/>
              <w:rPr>
                <w:rFonts w:cs="Times"/>
                <w:color w:val="1F497D"/>
                <w:sz w:val="20"/>
                <w:lang w:eastAsia="ko-KR"/>
              </w:rPr>
            </w:pPr>
          </w:p>
          <w:p w:rsidR="00DF1CD0" w:rsidRDefault="00E11052">
            <w:pPr>
              <w:spacing w:before="120" w:after="120"/>
              <w:rPr>
                <w:rFonts w:cs="Times"/>
                <w:b/>
                <w:bCs/>
                <w:sz w:val="20"/>
              </w:rPr>
            </w:pPr>
            <w:r>
              <w:rPr>
                <w:rFonts w:cs="Times"/>
                <w:b/>
                <w:bCs/>
                <w:sz w:val="20"/>
              </w:rPr>
              <w:t>Conclusion</w:t>
            </w:r>
          </w:p>
          <w:p w:rsidR="00DF1CD0" w:rsidRDefault="00E11052">
            <w:pPr>
              <w:spacing w:before="120" w:after="120"/>
              <w:rPr>
                <w:rFonts w:cs="Times"/>
                <w:sz w:val="20"/>
                <w:lang w:eastAsia="ja-JP"/>
              </w:rPr>
            </w:pPr>
            <w:r>
              <w:rPr>
                <w:rFonts w:cs="Times"/>
                <w:sz w:val="20"/>
                <w:lang w:eastAsia="ja-JP"/>
              </w:rPr>
              <w:t xml:space="preserve">Details on the design of the indication of when Case 6 timing (and Case 7 timing, if agreed) is performed at the IAB-node are to be discussed under </w:t>
            </w:r>
            <w:r>
              <w:rPr>
                <w:rFonts w:cs="Times"/>
                <w:sz w:val="20"/>
                <w:highlight w:val="yellow"/>
                <w:lang w:eastAsia="ja-JP"/>
              </w:rPr>
              <w:t>8.10.1</w:t>
            </w:r>
          </w:p>
          <w:p w:rsidR="00DF1CD0" w:rsidRDefault="00DF1CD0">
            <w:pPr>
              <w:pStyle w:val="af1"/>
              <w:numPr>
                <w:ilvl w:val="255"/>
                <w:numId w:val="0"/>
              </w:numPr>
              <w:spacing w:after="120"/>
              <w:rPr>
                <w:sz w:val="20"/>
                <w:szCs w:val="20"/>
              </w:rPr>
            </w:pPr>
          </w:p>
        </w:tc>
      </w:tr>
    </w:tbl>
    <w:p w:rsidR="00DF1CD0" w:rsidRDefault="00E11052">
      <w:pPr>
        <w:widowControl w:val="0"/>
        <w:spacing w:before="120" w:after="120"/>
        <w:rPr>
          <w:sz w:val="20"/>
        </w:rPr>
      </w:pPr>
      <w:r>
        <w:rPr>
          <w:rFonts w:hint="eastAsia"/>
          <w:sz w:val="20"/>
        </w:rPr>
        <w:t xml:space="preserve">There are some factors, e.g. timing alignment, Tx power and beams used by IAB node DU and MT etc., which can impact the actual multiplexing case of an IAB-node. In other words, assuming that IAB-node is notified of multiplexing case, it does not mean that </w:t>
      </w:r>
      <w:r>
        <w:rPr>
          <w:rFonts w:hint="eastAsia"/>
          <w:sz w:val="20"/>
        </w:rPr>
        <w:t>the IAB-node actually transmits or receives, instead it should be just regarded as expected/potential simultaneous operation. It needs to adjust the timing alignment in advance, and meet the power control conditions such as power balance and power sharing.</w:t>
      </w:r>
      <w:r>
        <w:rPr>
          <w:rFonts w:hint="eastAsia"/>
          <w:sz w:val="20"/>
        </w:rPr>
        <w:t xml:space="preserve"> Finally, it needs to wait for the actual DL/UL grant scheduling of BH link and/or AC link before it can transmit or receive. This means that an IAB-node is configured with FDM/SDM, due to scheduling and other reasons, it may only perform non-simultaneous </w:t>
      </w:r>
      <w:r>
        <w:rPr>
          <w:rFonts w:hint="eastAsia"/>
          <w:sz w:val="20"/>
        </w:rPr>
        <w:t xml:space="preserve">transmission or non-simultaneous reception. </w:t>
      </w:r>
    </w:p>
    <w:p w:rsidR="00DF1CD0" w:rsidRDefault="00E11052">
      <w:pPr>
        <w:widowControl w:val="0"/>
        <w:spacing w:before="120" w:after="120"/>
        <w:rPr>
          <w:sz w:val="20"/>
        </w:rPr>
      </w:pPr>
      <w:r>
        <w:rPr>
          <w:rFonts w:hint="eastAsia"/>
          <w:sz w:val="20"/>
        </w:rPr>
        <w:t xml:space="preserve">According to above conclusion, details on the design of the indication of when Case 6 timing (and Case 7 timing, if agreed) is performed at the IAB-node are to be discussed under agenda item 8.10.1. </w:t>
      </w:r>
      <w:r>
        <w:rPr>
          <w:rFonts w:hint="eastAsia"/>
          <w:sz w:val="20"/>
        </w:rPr>
        <w:t>One FFS poin</w:t>
      </w:r>
      <w:r>
        <w:rPr>
          <w:rFonts w:hint="eastAsia"/>
          <w:sz w:val="20"/>
        </w:rPr>
        <w:t xml:space="preserve">t in the last meeting is whether the indication of timing mode should be associated with multiplexing cases. </w:t>
      </w:r>
    </w:p>
    <w:p w:rsidR="00DF1CD0" w:rsidRDefault="00E11052">
      <w:pPr>
        <w:spacing w:before="120" w:after="120"/>
        <w:rPr>
          <w:sz w:val="20"/>
        </w:rPr>
      </w:pPr>
      <w:r>
        <w:rPr>
          <w:rFonts w:hint="eastAsia"/>
          <w:sz w:val="20"/>
        </w:rPr>
        <w:t>In our view, timing mode can be explicitly indicated by the parent node, while expected/potential multiplexing case can be implicitly determined b</w:t>
      </w:r>
      <w:r>
        <w:rPr>
          <w:rFonts w:hint="eastAsia"/>
          <w:sz w:val="20"/>
        </w:rPr>
        <w:t>y the indicated timing mode. For a given time resource, as discussed above, actual multiplexing case adopted by an IAB-node can be determined according to timing mode indication, power control parameters provided by parent node, beams used by IAB node DU a</w:t>
      </w:r>
      <w:r>
        <w:rPr>
          <w:rFonts w:hint="eastAsia"/>
          <w:sz w:val="20"/>
        </w:rPr>
        <w:t>nd MT, resource type (i.e. DL, F, UL) of IAB node DU and MT etc.</w:t>
      </w:r>
    </w:p>
    <w:p w:rsidR="00DF1CD0" w:rsidRDefault="00E11052">
      <w:pPr>
        <w:pStyle w:val="YJ-Observation"/>
        <w:spacing w:before="120" w:after="120"/>
        <w:rPr>
          <w:lang w:val="en-US" w:eastAsia="zh-CN"/>
        </w:rPr>
      </w:pPr>
      <w:bookmarkStart w:id="109" w:name="_Toc83923101"/>
      <w:r>
        <w:rPr>
          <w:rFonts w:cs="Times" w:hint="eastAsia"/>
          <w:lang w:val="en-US" w:eastAsia="zh-CN"/>
        </w:rPr>
        <w:t xml:space="preserve">For a </w:t>
      </w:r>
      <w:r>
        <w:rPr>
          <w:rFonts w:cs="Times" w:hint="eastAsia"/>
          <w:lang w:val="en-US" w:eastAsia="zh-CN"/>
        </w:rPr>
        <w:t xml:space="preserve">given time resource, actual multiplexing case adopted by an IAB-node can be determined according to timing mode indication, power control parameters provided by </w:t>
      </w:r>
      <w:r>
        <w:rPr>
          <w:rFonts w:cs="Times" w:hint="eastAsia"/>
          <w:lang w:val="en-US" w:eastAsia="zh-CN"/>
        </w:rPr>
        <w:t xml:space="preserve">its </w:t>
      </w:r>
      <w:r>
        <w:rPr>
          <w:rFonts w:cs="Times" w:hint="eastAsia"/>
          <w:lang w:val="en-US" w:eastAsia="zh-CN"/>
        </w:rPr>
        <w:t>parent node, beams u</w:t>
      </w:r>
      <w:r>
        <w:rPr>
          <w:rFonts w:cs="Times" w:hint="eastAsia"/>
          <w:lang w:val="en-US" w:eastAsia="zh-CN"/>
        </w:rPr>
        <w:t>sed by IAB node DU and MT, resource type (i.e. DL, F, UL) of IAB node DU and MT etc</w:t>
      </w:r>
      <w:r>
        <w:rPr>
          <w:rFonts w:cs="Times" w:hint="eastAsia"/>
          <w:lang w:val="en-US" w:eastAsia="zh-CN"/>
        </w:rPr>
        <w:t>.</w:t>
      </w:r>
      <w:bookmarkEnd w:id="109"/>
    </w:p>
    <w:p w:rsidR="00DF1CD0" w:rsidRDefault="00E11052">
      <w:pPr>
        <w:pStyle w:val="YJ-Proposal"/>
        <w:widowControl w:val="0"/>
        <w:spacing w:before="120" w:after="120"/>
        <w:rPr>
          <w:lang w:val="en-US" w:eastAsia="zh-CN"/>
        </w:rPr>
      </w:pPr>
      <w:bookmarkStart w:id="110" w:name="_Toc21655"/>
      <w:bookmarkStart w:id="111" w:name="_Toc83923116"/>
      <w:r>
        <w:rPr>
          <w:rFonts w:hint="eastAsia"/>
          <w:lang w:val="en-US" w:eastAsia="zh-CN"/>
        </w:rPr>
        <w:t>For a given time resource, the applied timing mode can be explicitly indicated by the parent node, while the expected multiplexing case at the given time resource can be i</w:t>
      </w:r>
      <w:r>
        <w:rPr>
          <w:rFonts w:hint="eastAsia"/>
          <w:lang w:val="en-US" w:eastAsia="zh-CN"/>
        </w:rPr>
        <w:t>mplicitly determined based on the timing mode indication</w:t>
      </w:r>
      <w:r>
        <w:rPr>
          <w:rFonts w:cs="Times" w:hint="eastAsia"/>
          <w:lang w:val="en-US" w:eastAsia="zh-CN"/>
        </w:rPr>
        <w:t>.</w:t>
      </w:r>
      <w:bookmarkEnd w:id="110"/>
      <w:bookmarkEnd w:id="111"/>
    </w:p>
    <w:p w:rsidR="00DF1CD0" w:rsidRPr="00E11052" w:rsidRDefault="00DF1CD0">
      <w:pPr>
        <w:pStyle w:val="YJ-Proposal"/>
        <w:numPr>
          <w:ilvl w:val="255"/>
          <w:numId w:val="0"/>
        </w:numPr>
        <w:spacing w:before="120" w:after="120"/>
        <w:rPr>
          <w:rFonts w:cs="Times"/>
          <w:lang w:val="en-US" w:eastAsia="zh-CN"/>
        </w:rPr>
      </w:pPr>
    </w:p>
    <w:p w:rsidR="00DF1CD0" w:rsidRDefault="00E11052">
      <w:pPr>
        <w:pStyle w:val="2"/>
        <w:spacing w:before="120" w:after="120"/>
        <w:ind w:left="991" w:right="210" w:hangingChars="354" w:hanging="991"/>
        <w:rPr>
          <w:rFonts w:cs="Arial"/>
          <w:szCs w:val="28"/>
        </w:rPr>
      </w:pPr>
      <w:r>
        <w:rPr>
          <w:rFonts w:cs="Arial"/>
          <w:szCs w:val="28"/>
        </w:rPr>
        <w:t>Dual connectivity</w:t>
      </w:r>
    </w:p>
    <w:p w:rsidR="00DF1CD0" w:rsidRDefault="00E11052">
      <w:pPr>
        <w:spacing w:before="120" w:after="120"/>
        <w:rPr>
          <w:sz w:val="20"/>
        </w:rPr>
      </w:pPr>
      <w:r>
        <w:rPr>
          <w:sz w:val="20"/>
        </w:rPr>
        <w:t>The following agreements have been made in RAN1#10</w:t>
      </w:r>
      <w:r>
        <w:rPr>
          <w:rFonts w:hint="eastAsia"/>
          <w:sz w:val="20"/>
        </w:rPr>
        <w:t>6</w:t>
      </w:r>
      <w:r>
        <w:rPr>
          <w:sz w:val="20"/>
        </w:rPr>
        <w:t>-e on dual connectivity for IAB node [1].</w:t>
      </w:r>
    </w:p>
    <w:tbl>
      <w:tblPr>
        <w:tblStyle w:val="ac"/>
        <w:tblW w:w="0" w:type="auto"/>
        <w:tblLook w:val="04A0" w:firstRow="1" w:lastRow="0" w:firstColumn="1" w:lastColumn="0" w:noHBand="0" w:noVBand="1"/>
      </w:tblPr>
      <w:tblGrid>
        <w:gridCol w:w="9876"/>
      </w:tblGrid>
      <w:tr w:rsidR="00DF1CD0">
        <w:tc>
          <w:tcPr>
            <w:tcW w:w="9876" w:type="dxa"/>
          </w:tcPr>
          <w:p w:rsidR="00DF1CD0" w:rsidRDefault="00E11052">
            <w:pPr>
              <w:pStyle w:val="af1"/>
              <w:numPr>
                <w:ilvl w:val="255"/>
                <w:numId w:val="0"/>
              </w:numPr>
              <w:spacing w:after="120"/>
              <w:ind w:left="360"/>
              <w:rPr>
                <w:rFonts w:cs="Times"/>
                <w:b/>
                <w:sz w:val="20"/>
                <w:szCs w:val="20"/>
                <w:highlight w:val="green"/>
              </w:rPr>
            </w:pPr>
            <w:r>
              <w:rPr>
                <w:rFonts w:cs="Times"/>
                <w:b/>
                <w:sz w:val="20"/>
                <w:szCs w:val="20"/>
                <w:highlight w:val="green"/>
              </w:rPr>
              <w:t>Agreement</w:t>
            </w:r>
          </w:p>
          <w:p w:rsidR="00DF1CD0" w:rsidRDefault="00E11052">
            <w:pPr>
              <w:pStyle w:val="af1"/>
              <w:numPr>
                <w:ilvl w:val="0"/>
                <w:numId w:val="16"/>
              </w:numPr>
              <w:spacing w:after="120"/>
              <w:rPr>
                <w:sz w:val="20"/>
                <w:szCs w:val="20"/>
              </w:rPr>
            </w:pPr>
            <w:r>
              <w:rPr>
                <w:rFonts w:cs="Times"/>
                <w:bCs/>
                <w:color w:val="000000"/>
                <w:kern w:val="24"/>
                <w:sz w:val="20"/>
                <w:szCs w:val="20"/>
              </w:rPr>
              <w:t xml:space="preserve">The IAB-donor-CU can be made aware of the IAB-MT’s capability regarding </w:t>
            </w:r>
            <w:r>
              <w:rPr>
                <w:rFonts w:cs="Times"/>
                <w:bCs/>
                <w:color w:val="000000"/>
                <w:kern w:val="24"/>
                <w:sz w:val="20"/>
                <w:szCs w:val="20"/>
              </w:rPr>
              <w:t>simultaneous transmission and reception on multiple serving cells in a frequency band, configured by the two parent nodes in intra-donor DC scenarios.</w:t>
            </w:r>
          </w:p>
          <w:p w:rsidR="00DF1CD0" w:rsidRDefault="00E11052">
            <w:pPr>
              <w:pStyle w:val="af1"/>
              <w:numPr>
                <w:ilvl w:val="255"/>
                <w:numId w:val="0"/>
              </w:numPr>
              <w:spacing w:after="120"/>
              <w:ind w:left="360"/>
              <w:rPr>
                <w:rStyle w:val="ad"/>
                <w:rFonts w:cs="Times"/>
                <w:sz w:val="20"/>
                <w:szCs w:val="20"/>
              </w:rPr>
            </w:pPr>
            <w:r>
              <w:rPr>
                <w:rStyle w:val="ad"/>
                <w:rFonts w:cs="Times"/>
                <w:sz w:val="20"/>
                <w:szCs w:val="20"/>
                <w:highlight w:val="green"/>
              </w:rPr>
              <w:t>Agreement</w:t>
            </w:r>
          </w:p>
          <w:p w:rsidR="00DF1CD0" w:rsidRDefault="00E11052">
            <w:pPr>
              <w:pStyle w:val="af1"/>
              <w:numPr>
                <w:ilvl w:val="0"/>
                <w:numId w:val="16"/>
              </w:numPr>
              <w:spacing w:after="120"/>
              <w:rPr>
                <w:rFonts w:cs="Times"/>
                <w:b/>
                <w:sz w:val="20"/>
                <w:szCs w:val="20"/>
              </w:rPr>
            </w:pPr>
            <w:r>
              <w:rPr>
                <w:rStyle w:val="ad"/>
                <w:rFonts w:cs="Times"/>
                <w:b w:val="0"/>
                <w:sz w:val="20"/>
                <w:szCs w:val="20"/>
              </w:rPr>
              <w:t xml:space="preserve">To support extension of CA TDD prioritization rules to NR-DC, the following resource coordination mechanisms between parents/donors are supported: </w:t>
            </w:r>
          </w:p>
          <w:p w:rsidR="00DF1CD0" w:rsidRDefault="00E11052">
            <w:pPr>
              <w:pStyle w:val="af1"/>
              <w:numPr>
                <w:ilvl w:val="0"/>
                <w:numId w:val="16"/>
              </w:numPr>
              <w:spacing w:after="120"/>
              <w:contextualSpacing w:val="0"/>
              <w:jc w:val="left"/>
              <w:rPr>
                <w:rFonts w:eastAsia="Calibri" w:cs="Times"/>
                <w:bCs/>
                <w:sz w:val="20"/>
                <w:szCs w:val="20"/>
              </w:rPr>
            </w:pPr>
            <w:r>
              <w:rPr>
                <w:rFonts w:eastAsia="Calibri" w:cs="Times"/>
                <w:sz w:val="20"/>
                <w:szCs w:val="20"/>
              </w:rPr>
              <w:t xml:space="preserve">For intra-donor and inter-donor DC scenarios, in addition to coordination at the donor CU(s), a parent-node </w:t>
            </w:r>
            <w:r>
              <w:rPr>
                <w:rFonts w:eastAsia="Calibri" w:cs="Times"/>
                <w:sz w:val="20"/>
                <w:szCs w:val="20"/>
              </w:rPr>
              <w:t>can be made aware of the DU resource configuration (UL/DL/FL, H/S/NA) of the other peer parent node that connects to the same IAB-node.</w:t>
            </w:r>
          </w:p>
          <w:p w:rsidR="00DF1CD0" w:rsidRDefault="00E11052">
            <w:pPr>
              <w:pStyle w:val="af1"/>
              <w:numPr>
                <w:ilvl w:val="0"/>
                <w:numId w:val="16"/>
              </w:numPr>
              <w:spacing w:after="120"/>
              <w:contextualSpacing w:val="0"/>
              <w:jc w:val="left"/>
              <w:rPr>
                <w:rFonts w:eastAsia="Calibri" w:cs="Times"/>
                <w:bCs/>
                <w:sz w:val="20"/>
                <w:szCs w:val="20"/>
              </w:rPr>
            </w:pPr>
            <w:r>
              <w:rPr>
                <w:rFonts w:eastAsia="宋体" w:cs="Times" w:hint="eastAsia"/>
                <w:bCs/>
                <w:sz w:val="20"/>
                <w:szCs w:val="20"/>
              </w:rPr>
              <w:t>For intra-donor and inter-donor DC scenarios, coordinating the semi-static and/or cell-common higher layer configuration</w:t>
            </w:r>
            <w:r>
              <w:rPr>
                <w:rFonts w:eastAsia="宋体" w:cs="Times" w:hint="eastAsia"/>
                <w:bCs/>
                <w:sz w:val="20"/>
                <w:szCs w:val="20"/>
              </w:rPr>
              <w:t xml:space="preserve"> (e.g. SSB, CORESET 0, and RACH and configurations) from/for different parent nodes.</w:t>
            </w:r>
          </w:p>
          <w:p w:rsidR="00DF1CD0" w:rsidRDefault="00E11052">
            <w:pPr>
              <w:pStyle w:val="af1"/>
              <w:numPr>
                <w:ilvl w:val="255"/>
                <w:numId w:val="0"/>
              </w:numPr>
              <w:spacing w:after="120"/>
              <w:ind w:left="360"/>
              <w:rPr>
                <w:rFonts w:cs="Times"/>
                <w:b/>
                <w:sz w:val="20"/>
                <w:szCs w:val="20"/>
                <w:highlight w:val="green"/>
              </w:rPr>
            </w:pPr>
            <w:r>
              <w:rPr>
                <w:rFonts w:cs="Times"/>
                <w:b/>
                <w:sz w:val="20"/>
                <w:szCs w:val="20"/>
                <w:highlight w:val="green"/>
              </w:rPr>
              <w:t>Agreement</w:t>
            </w:r>
          </w:p>
          <w:p w:rsidR="00DF1CD0" w:rsidRDefault="00E11052">
            <w:pPr>
              <w:pStyle w:val="af1"/>
              <w:numPr>
                <w:ilvl w:val="0"/>
                <w:numId w:val="16"/>
              </w:numPr>
              <w:spacing w:after="120"/>
              <w:rPr>
                <w:rFonts w:cs="Times"/>
                <w:bCs/>
                <w:color w:val="000000"/>
                <w:kern w:val="24"/>
                <w:sz w:val="20"/>
                <w:szCs w:val="20"/>
              </w:rPr>
            </w:pPr>
            <w:r>
              <w:rPr>
                <w:rFonts w:cs="Times"/>
                <w:bCs/>
                <w:color w:val="000000"/>
                <w:kern w:val="24"/>
                <w:sz w:val="20"/>
                <w:szCs w:val="20"/>
              </w:rPr>
              <w:t>The following solutions are supported to handle potential indication conflict of overlapping flexible symbols between two parent IAB-nodes:</w:t>
            </w:r>
          </w:p>
          <w:p w:rsidR="00DF1CD0" w:rsidRDefault="00E11052">
            <w:pPr>
              <w:pStyle w:val="af1"/>
              <w:numPr>
                <w:ilvl w:val="255"/>
                <w:numId w:val="0"/>
              </w:numPr>
              <w:spacing w:after="120"/>
              <w:ind w:leftChars="285" w:left="598" w:firstLineChars="100" w:firstLine="200"/>
              <w:contextualSpacing w:val="0"/>
              <w:jc w:val="left"/>
              <w:rPr>
                <w:rFonts w:cs="Times"/>
                <w:b/>
                <w:sz w:val="20"/>
                <w:szCs w:val="20"/>
                <w:highlight w:val="green"/>
              </w:rPr>
            </w:pPr>
            <w:r>
              <w:rPr>
                <w:rFonts w:eastAsia="宋体" w:cs="Times" w:hint="eastAsia"/>
                <w:bCs/>
                <w:color w:val="000000"/>
                <w:kern w:val="24"/>
                <w:sz w:val="20"/>
                <w:szCs w:val="20"/>
              </w:rPr>
              <w:t xml:space="preserve"> -  </w:t>
            </w:r>
            <w:r>
              <w:rPr>
                <w:rFonts w:cs="Times"/>
                <w:bCs/>
                <w:color w:val="000000"/>
                <w:kern w:val="24"/>
                <w:sz w:val="20"/>
                <w:szCs w:val="20"/>
              </w:rPr>
              <w:t xml:space="preserve">In intra-donor DC scenarios, if the IAB MT does not support simultaneous Tx and Rx on different carriers, it does not expect to receive conflicting DCI 2_0 from different parents. </w:t>
            </w:r>
          </w:p>
          <w:p w:rsidR="00DF1CD0" w:rsidRDefault="00E11052">
            <w:pPr>
              <w:pStyle w:val="af1"/>
              <w:numPr>
                <w:ilvl w:val="255"/>
                <w:numId w:val="0"/>
              </w:numPr>
              <w:spacing w:after="120"/>
              <w:ind w:left="360"/>
              <w:rPr>
                <w:rFonts w:eastAsia="宋体" w:cs="Times"/>
                <w:b/>
                <w:sz w:val="20"/>
                <w:szCs w:val="20"/>
              </w:rPr>
            </w:pPr>
            <w:r>
              <w:rPr>
                <w:rFonts w:cs="Times"/>
                <w:b/>
                <w:sz w:val="20"/>
                <w:szCs w:val="20"/>
                <w:highlight w:val="green"/>
              </w:rPr>
              <w:t>Agreement</w:t>
            </w:r>
          </w:p>
          <w:p w:rsidR="00DF1CD0" w:rsidRDefault="00E11052">
            <w:pPr>
              <w:pStyle w:val="af1"/>
              <w:numPr>
                <w:ilvl w:val="0"/>
                <w:numId w:val="16"/>
              </w:numPr>
              <w:spacing w:after="120"/>
              <w:rPr>
                <w:rFonts w:cs="Times"/>
                <w:bCs/>
                <w:sz w:val="20"/>
                <w:szCs w:val="20"/>
              </w:rPr>
            </w:pPr>
            <w:r>
              <w:rPr>
                <w:rFonts w:cs="Times"/>
                <w:bCs/>
                <w:sz w:val="20"/>
                <w:szCs w:val="20"/>
              </w:rPr>
              <w:t>Select from the following alternatives to handle potential indica</w:t>
            </w:r>
            <w:r>
              <w:rPr>
                <w:rFonts w:cs="Times"/>
                <w:bCs/>
                <w:sz w:val="20"/>
                <w:szCs w:val="20"/>
              </w:rPr>
              <w:t>tion conflict of symbols configured as semi-static flexible by one parent node, but not the other in inter-donor DC scenarios if the IAB MT of the dual-connected IAB-node does not support simultaneous Tx and Rx on different carriers:</w:t>
            </w:r>
          </w:p>
          <w:p w:rsidR="00DF1CD0" w:rsidRDefault="00E11052">
            <w:pPr>
              <w:pStyle w:val="af1"/>
              <w:numPr>
                <w:ilvl w:val="0"/>
                <w:numId w:val="16"/>
              </w:numPr>
              <w:spacing w:after="120"/>
              <w:rPr>
                <w:rFonts w:cs="Times"/>
                <w:bCs/>
                <w:sz w:val="20"/>
                <w:szCs w:val="20"/>
              </w:rPr>
            </w:pPr>
            <w:r>
              <w:rPr>
                <w:rFonts w:cs="Times"/>
                <w:bCs/>
                <w:sz w:val="20"/>
                <w:szCs w:val="20"/>
              </w:rPr>
              <w:t>Alt. 1. The IAB MT doe</w:t>
            </w:r>
            <w:r>
              <w:rPr>
                <w:rFonts w:cs="Times"/>
                <w:bCs/>
                <w:sz w:val="20"/>
                <w:szCs w:val="20"/>
              </w:rPr>
              <w:t>s not expect to receive conflicting DCI formats including DCI2_0 and dynamic scheduling grants from different parents. FFS: Explicitly captured in the specification or left as a network configuration error case without specification impact</w:t>
            </w:r>
          </w:p>
          <w:p w:rsidR="00DF1CD0" w:rsidRDefault="00E11052">
            <w:pPr>
              <w:pStyle w:val="af1"/>
              <w:numPr>
                <w:ilvl w:val="0"/>
                <w:numId w:val="16"/>
              </w:numPr>
              <w:spacing w:after="120"/>
              <w:rPr>
                <w:rFonts w:cs="Times"/>
                <w:bCs/>
                <w:sz w:val="20"/>
                <w:szCs w:val="20"/>
              </w:rPr>
            </w:pPr>
            <w:r>
              <w:rPr>
                <w:rFonts w:cs="Times"/>
                <w:bCs/>
                <w:sz w:val="20"/>
                <w:szCs w:val="20"/>
              </w:rPr>
              <w:t>Alt. 6. The IAB-</w:t>
            </w:r>
            <w:r>
              <w:rPr>
                <w:rFonts w:cs="Times"/>
                <w:bCs/>
                <w:sz w:val="20"/>
                <w:szCs w:val="20"/>
              </w:rPr>
              <w:t>MT is expected to operate according to the non-flexible configuration.</w:t>
            </w:r>
          </w:p>
          <w:p w:rsidR="00DF1CD0" w:rsidRDefault="00DF1CD0">
            <w:pPr>
              <w:pStyle w:val="af1"/>
              <w:numPr>
                <w:ilvl w:val="255"/>
                <w:numId w:val="0"/>
              </w:numPr>
              <w:spacing w:after="120"/>
              <w:ind w:left="360"/>
              <w:rPr>
                <w:rFonts w:cs="Times"/>
                <w:b/>
                <w:bCs/>
                <w:sz w:val="20"/>
                <w:szCs w:val="20"/>
              </w:rPr>
            </w:pPr>
          </w:p>
          <w:p w:rsidR="00DF1CD0" w:rsidRDefault="00E11052">
            <w:pPr>
              <w:pStyle w:val="af1"/>
              <w:numPr>
                <w:ilvl w:val="255"/>
                <w:numId w:val="0"/>
              </w:numPr>
              <w:spacing w:after="120"/>
              <w:ind w:left="360"/>
              <w:rPr>
                <w:rFonts w:eastAsia="宋体" w:cs="Times"/>
                <w:b/>
                <w:sz w:val="20"/>
                <w:szCs w:val="20"/>
              </w:rPr>
            </w:pPr>
            <w:r>
              <w:rPr>
                <w:rFonts w:cs="Times"/>
                <w:b/>
                <w:sz w:val="20"/>
                <w:szCs w:val="20"/>
                <w:highlight w:val="green"/>
              </w:rPr>
              <w:t>Agreement</w:t>
            </w:r>
          </w:p>
          <w:p w:rsidR="00DF1CD0" w:rsidRDefault="00E11052">
            <w:pPr>
              <w:pStyle w:val="af1"/>
              <w:numPr>
                <w:ilvl w:val="0"/>
                <w:numId w:val="16"/>
              </w:numPr>
              <w:spacing w:after="120"/>
              <w:rPr>
                <w:rFonts w:cs="Times"/>
                <w:sz w:val="20"/>
                <w:szCs w:val="20"/>
              </w:rPr>
            </w:pPr>
            <w:r>
              <w:rPr>
                <w:rFonts w:cs="Times"/>
                <w:bCs/>
                <w:color w:val="000000"/>
                <w:sz w:val="20"/>
                <w:szCs w:val="20"/>
              </w:rPr>
              <w:t xml:space="preserve">Select from the following alternatives to handle potential indication conflict of symbols configured as semi-static flexible by both parent nodes in inter-donor DC scenarios </w:t>
            </w:r>
            <w:r>
              <w:rPr>
                <w:rFonts w:cs="Times"/>
                <w:bCs/>
                <w:color w:val="000000"/>
                <w:sz w:val="20"/>
                <w:szCs w:val="20"/>
              </w:rPr>
              <w:t>if the IAB MT of the dual-connected IAB-node does not support simultaneous Tx and Rx on different carriers:</w:t>
            </w:r>
          </w:p>
          <w:p w:rsidR="00DF1CD0" w:rsidRDefault="00E11052">
            <w:pPr>
              <w:pStyle w:val="af1"/>
              <w:numPr>
                <w:ilvl w:val="0"/>
                <w:numId w:val="16"/>
              </w:numPr>
              <w:spacing w:after="120"/>
              <w:rPr>
                <w:rFonts w:cs="Times"/>
                <w:bCs/>
                <w:color w:val="000000"/>
                <w:sz w:val="20"/>
                <w:szCs w:val="20"/>
              </w:rPr>
            </w:pPr>
            <w:r>
              <w:rPr>
                <w:rFonts w:cs="Times"/>
                <w:bCs/>
                <w:color w:val="000000"/>
                <w:sz w:val="20"/>
                <w:szCs w:val="20"/>
              </w:rPr>
              <w:t>Alt. 1: The IAB MT does not expect to receive conflicting DCI formats including DCI2_0 and dynamic scheduling grants from different parents. FFS: Ex</w:t>
            </w:r>
            <w:r>
              <w:rPr>
                <w:rFonts w:cs="Times"/>
                <w:bCs/>
                <w:color w:val="000000"/>
                <w:sz w:val="20"/>
                <w:szCs w:val="20"/>
              </w:rPr>
              <w:t>plicitly captured in the specification or left as a network configuration error case without specification impact</w:t>
            </w:r>
          </w:p>
          <w:p w:rsidR="00DF1CD0" w:rsidRDefault="00E11052">
            <w:pPr>
              <w:pStyle w:val="af1"/>
              <w:numPr>
                <w:ilvl w:val="0"/>
                <w:numId w:val="16"/>
              </w:numPr>
              <w:spacing w:after="120"/>
              <w:rPr>
                <w:rFonts w:cs="Times"/>
                <w:bCs/>
                <w:color w:val="000000"/>
                <w:sz w:val="20"/>
                <w:szCs w:val="20"/>
              </w:rPr>
            </w:pPr>
            <w:r>
              <w:rPr>
                <w:rFonts w:cs="Times"/>
                <w:bCs/>
                <w:color w:val="000000"/>
                <w:sz w:val="20"/>
                <w:szCs w:val="20"/>
              </w:rPr>
              <w:t>Alt. 5: If a conflict occurs, the IAB MT is expected to perform as scheduled by MCG</w:t>
            </w:r>
          </w:p>
          <w:p w:rsidR="00DF1CD0" w:rsidRDefault="00E11052">
            <w:pPr>
              <w:pStyle w:val="af1"/>
              <w:numPr>
                <w:ilvl w:val="0"/>
                <w:numId w:val="16"/>
              </w:numPr>
              <w:spacing w:after="120"/>
              <w:rPr>
                <w:sz w:val="20"/>
              </w:rPr>
            </w:pPr>
            <w:r>
              <w:rPr>
                <w:rFonts w:cs="Times" w:hint="eastAsia"/>
                <w:bCs/>
                <w:color w:val="000000"/>
                <w:sz w:val="20"/>
                <w:szCs w:val="20"/>
              </w:rPr>
              <w:t>FFS: Consideration of the impact of parent node’s H/S/NA w</w:t>
            </w:r>
            <w:r>
              <w:rPr>
                <w:rFonts w:cs="Times" w:hint="eastAsia"/>
                <w:bCs/>
                <w:color w:val="000000"/>
                <w:sz w:val="20"/>
                <w:szCs w:val="20"/>
              </w:rPr>
              <w:t>hen specifying the prioritization rules in case of UL/DL conflict</w:t>
            </w:r>
          </w:p>
        </w:tc>
      </w:tr>
    </w:tbl>
    <w:p w:rsidR="00DF1CD0" w:rsidRDefault="00DF1CD0">
      <w:pPr>
        <w:spacing w:beforeLines="0" w:afterLines="0" w:line="259" w:lineRule="auto"/>
        <w:rPr>
          <w:sz w:val="20"/>
        </w:rPr>
      </w:pPr>
    </w:p>
    <w:p w:rsidR="00DF1CD0" w:rsidRDefault="00E11052">
      <w:pPr>
        <w:widowControl w:val="0"/>
        <w:spacing w:before="120" w:after="120"/>
        <w:rPr>
          <w:sz w:val="20"/>
        </w:rPr>
      </w:pPr>
      <w:r>
        <w:rPr>
          <w:rFonts w:hint="eastAsia"/>
          <w:sz w:val="20"/>
        </w:rPr>
        <w:t xml:space="preserve">For potential indication conflict of symbols configured as semi-static flexible by one parent node, but not the other in inter-donor DC scenarios if the IAB MT of the </w:t>
      </w:r>
      <w:r>
        <w:rPr>
          <w:rFonts w:hint="eastAsia"/>
          <w:sz w:val="20"/>
        </w:rPr>
        <w:t>dual-connected IAB-node does not support simultaneous Tx and Rx on different carriers in inter donor DC scenario, two options are provided. Compared with option 1, option 6 is not preferred because it may bring limitation of resource utilization. For optio</w:t>
      </w:r>
      <w:r>
        <w:rPr>
          <w:rFonts w:hint="eastAsia"/>
          <w:sz w:val="20"/>
        </w:rPr>
        <w:t>n 1, the conflict avoidance can be guaranteed by the network, so from the IAB MT perspective, it is not expected to receive conflicting DCI formats including DCI2_0 and dynamic scheduling grants from different parents.</w:t>
      </w:r>
    </w:p>
    <w:p w:rsidR="00DF1CD0" w:rsidRDefault="00E11052">
      <w:pPr>
        <w:widowControl w:val="0"/>
        <w:spacing w:before="120" w:after="120"/>
        <w:rPr>
          <w:sz w:val="20"/>
        </w:rPr>
      </w:pPr>
      <w:r>
        <w:rPr>
          <w:sz w:val="20"/>
        </w:rPr>
        <w:t xml:space="preserve">Another scenario is </w:t>
      </w:r>
      <w:r>
        <w:rPr>
          <w:rFonts w:hint="eastAsia"/>
          <w:sz w:val="20"/>
        </w:rPr>
        <w:t>potential indicat</w:t>
      </w:r>
      <w:r>
        <w:rPr>
          <w:rFonts w:hint="eastAsia"/>
          <w:sz w:val="20"/>
        </w:rPr>
        <w:t>ion conflict of symbols configured as semi-static flexible by both parent nodes in inter-donor DC scenarios if the IAB MT of the dual-connected IAB-node does not support simultaneous Tx and Rx on different carriers, as has been agreed that DU resource conf</w:t>
      </w:r>
      <w:r>
        <w:rPr>
          <w:rFonts w:hint="eastAsia"/>
          <w:sz w:val="20"/>
        </w:rPr>
        <w:t>iguration, semi-static and/or cell-common higher layer configuration can coordinate between CUs, the conflict can be left to network implementation. Same as intra-donor case, the IAB MT does not expect to receive conflicting DCI formats including DCI2_0 an</w:t>
      </w:r>
      <w:r>
        <w:rPr>
          <w:rFonts w:hint="eastAsia"/>
          <w:sz w:val="20"/>
        </w:rPr>
        <w:t>d dynamic scheduling grants from different parents.</w:t>
      </w:r>
    </w:p>
    <w:p w:rsidR="00DF1CD0" w:rsidRDefault="00E11052">
      <w:pPr>
        <w:pStyle w:val="YJ-Proposal"/>
        <w:spacing w:before="120" w:after="120"/>
        <w:rPr>
          <w:rFonts w:cs="Times"/>
          <w:color w:val="000000"/>
          <w:lang w:val="en-US" w:eastAsia="zh-CN"/>
        </w:rPr>
      </w:pPr>
      <w:bookmarkStart w:id="112" w:name="_Toc5743"/>
      <w:bookmarkStart w:id="113" w:name="_Toc83923117"/>
      <w:r>
        <w:rPr>
          <w:rFonts w:cs="Times" w:hint="eastAsia"/>
          <w:lang w:val="en-US" w:eastAsia="zh-CN"/>
        </w:rPr>
        <w:t>To</w:t>
      </w:r>
      <w:r>
        <w:rPr>
          <w:rFonts w:cs="Times"/>
          <w:lang w:eastAsia="zh-CN"/>
        </w:rPr>
        <w:t xml:space="preserve"> handle</w:t>
      </w:r>
      <w:r>
        <w:rPr>
          <w:rFonts w:cs="Times" w:hint="eastAsia"/>
          <w:lang w:val="en-US" w:eastAsia="zh-CN"/>
        </w:rPr>
        <w:t xml:space="preserve"> the</w:t>
      </w:r>
      <w:r>
        <w:rPr>
          <w:rFonts w:cs="Times" w:hint="eastAsia"/>
          <w:color w:val="000000"/>
          <w:lang w:val="en-US" w:eastAsia="zh-CN"/>
        </w:rPr>
        <w:t xml:space="preserve"> </w:t>
      </w:r>
      <w:r>
        <w:rPr>
          <w:rFonts w:cs="Times"/>
          <w:color w:val="000000"/>
          <w:lang w:eastAsia="zh-CN"/>
        </w:rPr>
        <w:t>potential indication conflict of symbols configured as semi-static flexible</w:t>
      </w:r>
      <w:r>
        <w:rPr>
          <w:rFonts w:cs="Times" w:hint="eastAsia"/>
          <w:color w:val="000000"/>
          <w:lang w:val="en-US" w:eastAsia="zh-CN"/>
        </w:rPr>
        <w:t xml:space="preserve"> by one or both parent nodes </w:t>
      </w:r>
      <w:r>
        <w:rPr>
          <w:rFonts w:cs="Times"/>
          <w:color w:val="000000"/>
          <w:lang w:eastAsia="zh-CN"/>
        </w:rPr>
        <w:t xml:space="preserve">in inter-donor DC </w:t>
      </w:r>
      <w:r>
        <w:rPr>
          <w:rFonts w:cs="Times"/>
          <w:lang w:eastAsia="zh-CN"/>
        </w:rPr>
        <w:t>scenarios</w:t>
      </w:r>
      <w:r>
        <w:rPr>
          <w:rFonts w:cs="Times" w:hint="eastAsia"/>
          <w:color w:val="000000"/>
          <w:lang w:val="en-US" w:eastAsia="zh-CN"/>
        </w:rPr>
        <w:t>：</w:t>
      </w:r>
      <w:bookmarkEnd w:id="112"/>
      <w:bookmarkEnd w:id="113"/>
    </w:p>
    <w:p w:rsidR="00DF1CD0" w:rsidRDefault="00E11052">
      <w:pPr>
        <w:pStyle w:val="sub-proposal"/>
        <w:spacing w:before="120" w:after="120"/>
        <w:ind w:left="822" w:hanging="402"/>
      </w:pPr>
      <w:bookmarkStart w:id="114" w:name="_Toc14005"/>
      <w:bookmarkStart w:id="115" w:name="_Toc83923118"/>
      <w:r>
        <w:rPr>
          <w:rFonts w:cs="Times"/>
          <w:color w:val="000000"/>
          <w:lang w:eastAsia="zh-CN"/>
        </w:rPr>
        <w:t xml:space="preserve">The IAB MT does not expect to receive conflicting DCI </w:t>
      </w:r>
      <w:r>
        <w:rPr>
          <w:rFonts w:cs="Times"/>
          <w:color w:val="000000"/>
          <w:lang w:eastAsia="zh-CN"/>
        </w:rPr>
        <w:t>formats including DCI2_0 and dynamic scheduling grants from different parents.</w:t>
      </w:r>
      <w:bookmarkEnd w:id="114"/>
      <w:bookmarkEnd w:id="115"/>
    </w:p>
    <w:p w:rsidR="00DF1CD0" w:rsidRDefault="00E11052">
      <w:pPr>
        <w:spacing w:before="120" w:after="120"/>
        <w:rPr>
          <w:sz w:val="20"/>
        </w:rPr>
      </w:pPr>
      <w:r>
        <w:rPr>
          <w:rFonts w:hint="eastAsia"/>
          <w:sz w:val="20"/>
        </w:rPr>
        <w:t xml:space="preserve">An IAB MT can detect more than one DCI format 2_5, and in R16 it is specified that </w:t>
      </w:r>
      <w:r>
        <w:rPr>
          <w:sz w:val="20"/>
        </w:rPr>
        <w:t>the IAB-MT expects that each of the more than one DCI formats 2_5 indicates a same value for t</w:t>
      </w:r>
      <w:r>
        <w:rPr>
          <w:sz w:val="20"/>
        </w:rPr>
        <w:t>he availability combination of the soft symbols in the slot</w:t>
      </w:r>
      <w:r>
        <w:rPr>
          <w:rFonts w:hint="eastAsia"/>
          <w:sz w:val="20"/>
        </w:rPr>
        <w:t>, this conclusion may not be applied in the DC scenario. So the restriction for indicating same value by more than one DCI 2_5 is only applied in the same CG.</w:t>
      </w:r>
    </w:p>
    <w:p w:rsidR="00DF1CD0" w:rsidRDefault="00E11052">
      <w:pPr>
        <w:pStyle w:val="YJ-Proposal"/>
        <w:spacing w:before="120" w:after="120"/>
        <w:rPr>
          <w:lang w:val="en-US" w:eastAsia="zh-CN"/>
        </w:rPr>
      </w:pPr>
      <w:bookmarkStart w:id="116" w:name="_Toc8139"/>
      <w:bookmarkStart w:id="117" w:name="_Toc79164591"/>
      <w:bookmarkStart w:id="118" w:name="_Toc83923119"/>
      <w:r>
        <w:rPr>
          <w:rFonts w:hint="eastAsia"/>
          <w:lang w:val="en-US" w:eastAsia="zh-CN"/>
        </w:rPr>
        <w:t xml:space="preserve">When IAB MT detects more than one DCI </w:t>
      </w:r>
      <w:r>
        <w:rPr>
          <w:rFonts w:hint="eastAsia"/>
          <w:lang w:val="en-US" w:eastAsia="zh-CN"/>
        </w:rPr>
        <w:t xml:space="preserve">format 2_5, </w:t>
      </w:r>
      <w:r>
        <w:rPr>
          <w:lang w:val="en-US"/>
        </w:rPr>
        <w:t xml:space="preserve">the IAB-MT expects that each of the more than one DCI formats 2_5 </w:t>
      </w:r>
      <w:r>
        <w:rPr>
          <w:rFonts w:hint="eastAsia"/>
          <w:lang w:val="en-US" w:eastAsia="zh-CN"/>
        </w:rPr>
        <w:t xml:space="preserve">from the same CG </w:t>
      </w:r>
      <w:r>
        <w:rPr>
          <w:lang w:val="en-US"/>
        </w:rPr>
        <w:t xml:space="preserve">indicates a same value for the availability combination of the soft </w:t>
      </w:r>
      <w:r>
        <w:rPr>
          <w:rFonts w:hint="eastAsia"/>
          <w:lang w:val="en-US" w:eastAsia="zh-CN"/>
        </w:rPr>
        <w:t>resources</w:t>
      </w:r>
      <w:r>
        <w:rPr>
          <w:lang w:val="en-US"/>
        </w:rPr>
        <w:t xml:space="preserve"> in the slot</w:t>
      </w:r>
      <w:r>
        <w:rPr>
          <w:rFonts w:hint="eastAsia"/>
          <w:lang w:val="en-US" w:eastAsia="zh-CN"/>
        </w:rPr>
        <w:t>.</w:t>
      </w:r>
      <w:bookmarkEnd w:id="116"/>
      <w:bookmarkEnd w:id="117"/>
      <w:bookmarkEnd w:id="118"/>
    </w:p>
    <w:p w:rsidR="00DF1CD0" w:rsidRDefault="00E11052">
      <w:pPr>
        <w:widowControl w:val="0"/>
        <w:spacing w:before="120" w:after="120"/>
        <w:rPr>
          <w:sz w:val="20"/>
        </w:rPr>
      </w:pPr>
      <w:r>
        <w:rPr>
          <w:rFonts w:hint="eastAsia"/>
          <w:sz w:val="20"/>
        </w:rPr>
        <w:t>For DCI 2_5 indication conflict from two parents, it has been agreed t</w:t>
      </w:r>
      <w:r>
        <w:rPr>
          <w:rFonts w:hint="eastAsia"/>
          <w:sz w:val="20"/>
        </w:rPr>
        <w:t>hat a per-cell IAB-DU soft resource is considered as available if the resource is either explicitly indicated (via DCI 2_5), or implicitly determined as available with respect to all serving cells. So the per-cell IAB DU soft resource availability with res</w:t>
      </w:r>
      <w:r>
        <w:rPr>
          <w:rFonts w:hint="eastAsia"/>
          <w:sz w:val="20"/>
        </w:rPr>
        <w:t>pect to per MT serving cell should be clarified firstly.</w:t>
      </w:r>
    </w:p>
    <w:p w:rsidR="00DF1CD0" w:rsidRDefault="00E11052">
      <w:pPr>
        <w:widowControl w:val="0"/>
        <w:spacing w:before="120" w:after="120"/>
        <w:rPr>
          <w:sz w:val="20"/>
        </w:rPr>
      </w:pPr>
      <w:r>
        <w:rPr>
          <w:rFonts w:hint="eastAsia"/>
          <w:sz w:val="20"/>
        </w:rPr>
        <w:t>Per-cell IAB-DU soft resource is considered as available with respect to a MT serving cell can be either explicitly indicated (via DCI 2_5), or implicitly determined as available. In current spec the</w:t>
      </w:r>
      <w:r>
        <w:rPr>
          <w:rFonts w:hint="eastAsia"/>
          <w:sz w:val="20"/>
        </w:rPr>
        <w:t xml:space="preserve"> DU availability is defined as follows:</w:t>
      </w:r>
    </w:p>
    <w:tbl>
      <w:tblPr>
        <w:tblStyle w:val="ac"/>
        <w:tblW w:w="0" w:type="auto"/>
        <w:tblLook w:val="04A0" w:firstRow="1" w:lastRow="0" w:firstColumn="1" w:lastColumn="0" w:noHBand="0" w:noVBand="1"/>
      </w:tblPr>
      <w:tblGrid>
        <w:gridCol w:w="9876"/>
      </w:tblGrid>
      <w:tr w:rsidR="00DF1CD0">
        <w:tc>
          <w:tcPr>
            <w:tcW w:w="9876" w:type="dxa"/>
          </w:tcPr>
          <w:p w:rsidR="00DF1CD0" w:rsidRDefault="00E11052">
            <w:pPr>
              <w:spacing w:before="120" w:after="120"/>
              <w:rPr>
                <w:sz w:val="20"/>
              </w:rPr>
            </w:pPr>
            <w:r>
              <w:rPr>
                <w:rFonts w:hint="eastAsia"/>
                <w:sz w:val="20"/>
              </w:rPr>
              <w:t>When a downlink, uplink, or flexible symbol is configured as soft, the IAB-DU can respectively transmit, receive or either transmit or receive in the symbol only if</w:t>
            </w:r>
          </w:p>
          <w:p w:rsidR="00DF1CD0" w:rsidRDefault="00E11052">
            <w:pPr>
              <w:spacing w:before="120" w:after="120"/>
              <w:rPr>
                <w:sz w:val="20"/>
              </w:rPr>
            </w:pPr>
            <w:r>
              <w:rPr>
                <w:rFonts w:hint="eastAsia"/>
                <w:sz w:val="20"/>
              </w:rPr>
              <w:t>-</w:t>
            </w:r>
            <w:r>
              <w:rPr>
                <w:rFonts w:hint="eastAsia"/>
                <w:sz w:val="20"/>
              </w:rPr>
              <w:tab/>
              <w:t>the IAB-MT does not transmit or receive in the sy</w:t>
            </w:r>
            <w:r>
              <w:rPr>
                <w:rFonts w:hint="eastAsia"/>
                <w:sz w:val="20"/>
              </w:rPr>
              <w:t>mbol, or</w:t>
            </w:r>
          </w:p>
          <w:p w:rsidR="00DF1CD0" w:rsidRDefault="00E11052">
            <w:pPr>
              <w:spacing w:before="120" w:after="120"/>
              <w:rPr>
                <w:sz w:val="20"/>
              </w:rPr>
            </w:pPr>
            <w:r>
              <w:rPr>
                <w:rFonts w:hint="eastAsia"/>
                <w:sz w:val="20"/>
              </w:rPr>
              <w:t>-</w:t>
            </w:r>
            <w:r>
              <w:rPr>
                <w:rFonts w:hint="eastAsia"/>
                <w:sz w:val="20"/>
              </w:rPr>
              <w:tab/>
              <w:t>the IAB-MT would transmit or receive in the symbol, and the transmission or reception in the symbol is not changed due to a use of the symbol by the IAB-DU, or</w:t>
            </w:r>
          </w:p>
          <w:p w:rsidR="00DF1CD0" w:rsidRDefault="00E11052">
            <w:pPr>
              <w:spacing w:before="120" w:after="120"/>
              <w:rPr>
                <w:rFonts w:cs="Times"/>
              </w:rPr>
            </w:pPr>
            <w:r>
              <w:rPr>
                <w:rFonts w:hint="eastAsia"/>
                <w:sz w:val="20"/>
              </w:rPr>
              <w:t>-</w:t>
            </w:r>
            <w:r>
              <w:rPr>
                <w:rFonts w:hint="eastAsia"/>
                <w:sz w:val="20"/>
              </w:rPr>
              <w:tab/>
              <w:t>the IAB-MT detects a DCI format 2_5 with an AI index field value indicating the sof</w:t>
            </w:r>
            <w:r>
              <w:rPr>
                <w:rFonts w:hint="eastAsia"/>
                <w:sz w:val="20"/>
              </w:rPr>
              <w:t>t symbol as available</w:t>
            </w:r>
          </w:p>
        </w:tc>
      </w:tr>
    </w:tbl>
    <w:p w:rsidR="00DF1CD0" w:rsidRDefault="00E11052">
      <w:pPr>
        <w:widowControl w:val="0"/>
        <w:spacing w:before="120" w:after="120"/>
        <w:rPr>
          <w:sz w:val="20"/>
        </w:rPr>
      </w:pPr>
      <w:r>
        <w:rPr>
          <w:rFonts w:hint="eastAsia"/>
          <w:sz w:val="20"/>
        </w:rPr>
        <w:t>The description is not suitable for the DC scenario, for the third sub bullet, when the IAB MT detects a DCI format 2_5 from one patent with an AI index field value indicating the soft symbol as available, the soft symbol availabilit</w:t>
      </w:r>
      <w:r>
        <w:rPr>
          <w:rFonts w:hint="eastAsia"/>
          <w:sz w:val="20"/>
        </w:rPr>
        <w:t>y indication from another parent may be not available. And some updates to current text are needed. For example, with respect to one specific MT serving cell, the per-cell IAB-DU soft resource is considered as available if:</w:t>
      </w:r>
    </w:p>
    <w:p w:rsidR="00DF1CD0" w:rsidRDefault="00E11052">
      <w:pPr>
        <w:widowControl w:val="0"/>
        <w:spacing w:before="120" w:after="120"/>
        <w:rPr>
          <w:sz w:val="20"/>
        </w:rPr>
      </w:pPr>
      <w:r>
        <w:rPr>
          <w:rFonts w:hint="eastAsia"/>
          <w:sz w:val="20"/>
        </w:rPr>
        <w:t>-  The IAB MT would not Tx/Rx on</w:t>
      </w:r>
      <w:r>
        <w:rPr>
          <w:rFonts w:hint="eastAsia"/>
          <w:sz w:val="20"/>
        </w:rPr>
        <w:t xml:space="preserve"> the serving cell during the symbol of the soft resource, or</w:t>
      </w:r>
    </w:p>
    <w:p w:rsidR="00DF1CD0" w:rsidRDefault="00E11052">
      <w:pPr>
        <w:widowControl w:val="0"/>
        <w:spacing w:before="120" w:after="120"/>
        <w:rPr>
          <w:sz w:val="20"/>
        </w:rPr>
      </w:pPr>
      <w:r>
        <w:rPr>
          <w:rFonts w:hint="eastAsia"/>
          <w:sz w:val="20"/>
        </w:rPr>
        <w:t>-  The IAB MT would Tx/Rx on the serving cell during the symbol of the soft resource, and the transmission or reception in the symbol is not changed due to a use of the symbol by the IAB-DU cell,</w:t>
      </w:r>
      <w:r>
        <w:rPr>
          <w:rFonts w:hint="eastAsia"/>
          <w:sz w:val="20"/>
        </w:rPr>
        <w:t xml:space="preserve"> or</w:t>
      </w:r>
    </w:p>
    <w:p w:rsidR="00DF1CD0" w:rsidRDefault="00E11052">
      <w:pPr>
        <w:widowControl w:val="0"/>
        <w:spacing w:before="120" w:after="120"/>
        <w:rPr>
          <w:sz w:val="20"/>
        </w:rPr>
      </w:pPr>
      <w:r>
        <w:rPr>
          <w:rFonts w:hint="eastAsia"/>
          <w:sz w:val="20"/>
        </w:rPr>
        <w:t>-  The IAB MT is explicitly indicated as IA by DCI 2_5 from the CG that the serving cell belongs to</w:t>
      </w:r>
    </w:p>
    <w:p w:rsidR="00DF1CD0" w:rsidRDefault="00E11052">
      <w:pPr>
        <w:widowControl w:val="0"/>
        <w:spacing w:before="120" w:after="120"/>
        <w:rPr>
          <w:sz w:val="20"/>
        </w:rPr>
      </w:pPr>
      <w:r>
        <w:rPr>
          <w:rFonts w:hint="eastAsia"/>
          <w:sz w:val="20"/>
        </w:rPr>
        <w:t>And a per-cell IAB-DU soft resource is considered as available if the resource is either explicitly indicated (via DCI 2_5), or implicitly determined as</w:t>
      </w:r>
      <w:r>
        <w:rPr>
          <w:rFonts w:hint="eastAsia"/>
          <w:sz w:val="20"/>
        </w:rPr>
        <w:t xml:space="preserve"> available with respect to all IAB MT serving cells</w:t>
      </w:r>
    </w:p>
    <w:p w:rsidR="00DF1CD0" w:rsidRDefault="00E11052">
      <w:pPr>
        <w:pStyle w:val="YJ-Proposal"/>
        <w:spacing w:before="120" w:after="120"/>
        <w:rPr>
          <w:lang w:val="en-US" w:eastAsia="zh-CN"/>
        </w:rPr>
      </w:pPr>
      <w:bookmarkStart w:id="119" w:name="_Toc1312"/>
      <w:bookmarkStart w:id="120" w:name="_Toc79164592"/>
      <w:bookmarkStart w:id="121" w:name="_Toc27554"/>
      <w:bookmarkStart w:id="122" w:name="_Toc83923120"/>
      <w:r>
        <w:rPr>
          <w:rFonts w:hint="eastAsia"/>
          <w:lang w:val="en-US" w:eastAsia="zh-CN"/>
        </w:rPr>
        <w:t xml:space="preserve">For explicitly availability indication case, </w:t>
      </w:r>
      <w:r>
        <w:rPr>
          <w:lang w:val="en-US" w:eastAsia="zh-CN"/>
        </w:rPr>
        <w:t xml:space="preserve">a per-cell IAB-DU soft resource is considered as available </w:t>
      </w:r>
      <w:r>
        <w:rPr>
          <w:rFonts w:hint="eastAsia"/>
          <w:lang w:val="en-US" w:eastAsia="zh-CN"/>
        </w:rPr>
        <w:t xml:space="preserve">with </w:t>
      </w:r>
      <w:r>
        <w:rPr>
          <w:lang w:val="en-US" w:eastAsia="zh-CN"/>
        </w:rPr>
        <w:t>respect to a IAB MT serving cell</w:t>
      </w:r>
      <w:r>
        <w:rPr>
          <w:rFonts w:hint="eastAsia"/>
          <w:lang w:val="en-US" w:eastAsia="zh-CN"/>
        </w:rPr>
        <w:t xml:space="preserve"> only if the IAB MT is </w:t>
      </w:r>
      <w:r>
        <w:rPr>
          <w:lang w:val="en-US" w:eastAsia="zh-CN"/>
        </w:rPr>
        <w:t>explicitly indicated</w:t>
      </w:r>
      <w:r>
        <w:rPr>
          <w:rFonts w:hint="eastAsia"/>
          <w:lang w:val="en-US" w:eastAsia="zh-CN"/>
        </w:rPr>
        <w:t xml:space="preserve"> </w:t>
      </w:r>
      <w:r>
        <w:rPr>
          <w:lang w:val="en-US" w:eastAsia="zh-CN"/>
        </w:rPr>
        <w:t xml:space="preserve">as IA by DCI 2_5 </w:t>
      </w:r>
      <w:r>
        <w:rPr>
          <w:lang w:val="en-US" w:eastAsia="zh-CN"/>
        </w:rPr>
        <w:t>from the CG that the serving cell belongs to</w:t>
      </w:r>
      <w:r>
        <w:rPr>
          <w:rFonts w:hint="eastAsia"/>
          <w:lang w:val="en-US" w:eastAsia="zh-CN"/>
        </w:rPr>
        <w:t>.</w:t>
      </w:r>
      <w:bookmarkEnd w:id="119"/>
      <w:bookmarkEnd w:id="120"/>
      <w:bookmarkEnd w:id="121"/>
      <w:bookmarkEnd w:id="122"/>
    </w:p>
    <w:p w:rsidR="00DF1CD0" w:rsidRDefault="00DF1CD0">
      <w:pPr>
        <w:pStyle w:val="YJ-Proposal"/>
        <w:numPr>
          <w:ilvl w:val="0"/>
          <w:numId w:val="0"/>
        </w:numPr>
        <w:spacing w:before="120" w:after="120"/>
        <w:rPr>
          <w:rFonts w:cs="Times"/>
          <w:lang w:val="en-US" w:eastAsia="zh-CN"/>
        </w:rPr>
      </w:pPr>
    </w:p>
    <w:p w:rsidR="00DF1CD0" w:rsidRDefault="00E11052">
      <w:pPr>
        <w:pStyle w:val="1"/>
        <w:spacing w:before="120" w:after="120"/>
        <w:ind w:left="0"/>
        <w:rPr>
          <w:rFonts w:cs="Arial"/>
          <w:szCs w:val="32"/>
        </w:rPr>
      </w:pPr>
      <w:r>
        <w:rPr>
          <w:rFonts w:cs="Arial"/>
          <w:szCs w:val="32"/>
        </w:rPr>
        <w:t>Conclusion</w:t>
      </w:r>
    </w:p>
    <w:p w:rsidR="00DF1CD0" w:rsidRDefault="00E11052">
      <w:pPr>
        <w:spacing w:before="120" w:after="120"/>
        <w:rPr>
          <w:sz w:val="20"/>
        </w:rPr>
      </w:pPr>
      <w:r>
        <w:rPr>
          <w:sz w:val="20"/>
        </w:rPr>
        <w:t>According to the discussion above, we provide the following observations and proposals on resource multiplexing of IAB:</w:t>
      </w:r>
    </w:p>
    <w:p w:rsidR="00DF1CD0" w:rsidRDefault="00DF1CD0">
      <w:pPr>
        <w:spacing w:before="120" w:after="120"/>
        <w:rPr>
          <w:sz w:val="20"/>
        </w:rPr>
      </w:pPr>
    </w:p>
    <w:p w:rsidR="00E11052" w:rsidRDefault="00E11052">
      <w:pPr>
        <w:pStyle w:val="10"/>
        <w:tabs>
          <w:tab w:val="left" w:pos="1470"/>
        </w:tabs>
        <w:spacing w:before="120" w:after="120"/>
        <w:rPr>
          <w:rFonts w:asciiTheme="minorHAnsi" w:hAnsiTheme="minorHAnsi" w:cstheme="minorBidi"/>
          <w:b w:val="0"/>
          <w:bCs w:val="0"/>
          <w:i w:val="0"/>
          <w:iCs w:val="0"/>
          <w:noProof/>
          <w:sz w:val="21"/>
          <w:szCs w:val="22"/>
        </w:rPr>
      </w:pPr>
      <w:r>
        <w:fldChar w:fldCharType="begin"/>
      </w:r>
      <w:r>
        <w:instrText>TOC \n  \t "YJ-Observation,1,sub-observation,2,3rd level observation,3" \h</w:instrText>
      </w:r>
      <w:r>
        <w:fldChar w:fldCharType="separate"/>
      </w:r>
      <w:hyperlink w:anchor="_Toc83923096" w:history="1">
        <w:r w:rsidRPr="00505EE8">
          <w:rPr>
            <w:rStyle w:val="af"/>
            <w:rFonts w:eastAsia="宋体"/>
            <w:noProof/>
          </w:rPr>
          <w:t>Observation 1:</w:t>
        </w:r>
        <w:r>
          <w:rPr>
            <w:rFonts w:asciiTheme="minorHAnsi" w:hAnsiTheme="minorHAnsi" w:cstheme="minorBidi"/>
            <w:b w:val="0"/>
            <w:bCs w:val="0"/>
            <w:i w:val="0"/>
            <w:iCs w:val="0"/>
            <w:noProof/>
            <w:sz w:val="21"/>
            <w:szCs w:val="22"/>
          </w:rPr>
          <w:tab/>
        </w:r>
        <w:r w:rsidRPr="00505EE8">
          <w:rPr>
            <w:rStyle w:val="af"/>
            <w:noProof/>
          </w:rPr>
          <w:t>The benefit to specify the relationship between N and the RGB_MT is not clear, but arising a lot of following issues and normative works.</w:t>
        </w:r>
      </w:hyperlink>
    </w:p>
    <w:p w:rsidR="00E11052" w:rsidRDefault="00E11052">
      <w:pPr>
        <w:pStyle w:val="10"/>
        <w:tabs>
          <w:tab w:val="left" w:pos="1470"/>
        </w:tabs>
        <w:spacing w:before="120" w:after="120"/>
        <w:rPr>
          <w:rFonts w:asciiTheme="minorHAnsi" w:hAnsiTheme="minorHAnsi" w:cstheme="minorBidi"/>
          <w:b w:val="0"/>
          <w:bCs w:val="0"/>
          <w:i w:val="0"/>
          <w:iCs w:val="0"/>
          <w:noProof/>
          <w:sz w:val="21"/>
          <w:szCs w:val="22"/>
        </w:rPr>
      </w:pPr>
      <w:hyperlink w:anchor="_Toc83923097" w:history="1">
        <w:r w:rsidRPr="00505EE8">
          <w:rPr>
            <w:rStyle w:val="af"/>
            <w:rFonts w:eastAsia="宋体"/>
            <w:noProof/>
          </w:rPr>
          <w:t>Observation 2:</w:t>
        </w:r>
        <w:r>
          <w:rPr>
            <w:rFonts w:asciiTheme="minorHAnsi" w:hAnsiTheme="minorHAnsi" w:cstheme="minorBidi"/>
            <w:b w:val="0"/>
            <w:bCs w:val="0"/>
            <w:i w:val="0"/>
            <w:iCs w:val="0"/>
            <w:noProof/>
            <w:sz w:val="21"/>
            <w:szCs w:val="22"/>
          </w:rPr>
          <w:tab/>
        </w:r>
        <w:r w:rsidRPr="00505EE8">
          <w:rPr>
            <w:rStyle w:val="af"/>
            <w:noProof/>
          </w:rPr>
          <w:t xml:space="preserve">In addition to a reference SCS, a reference carrier also needs to be defined </w:t>
        </w:r>
        <w:r w:rsidRPr="00505EE8">
          <w:rPr>
            <w:rStyle w:val="af"/>
            <w:rFonts w:cs="Times"/>
            <w:noProof/>
          </w:rPr>
          <w:t>for frequency domain H/S/NA configuration, e.g., at least the starting frequency location and bandwidth corresponding to the carrier including the RB sets need to be known first.</w:t>
        </w:r>
      </w:hyperlink>
    </w:p>
    <w:p w:rsidR="00E11052" w:rsidRDefault="00E11052">
      <w:pPr>
        <w:pStyle w:val="10"/>
        <w:tabs>
          <w:tab w:val="left" w:pos="1470"/>
        </w:tabs>
        <w:spacing w:before="120" w:after="120"/>
        <w:rPr>
          <w:rFonts w:asciiTheme="minorHAnsi" w:hAnsiTheme="minorHAnsi" w:cstheme="minorBidi"/>
          <w:b w:val="0"/>
          <w:bCs w:val="0"/>
          <w:i w:val="0"/>
          <w:iCs w:val="0"/>
          <w:noProof/>
          <w:sz w:val="21"/>
          <w:szCs w:val="22"/>
        </w:rPr>
      </w:pPr>
      <w:hyperlink w:anchor="_Toc83923098" w:history="1">
        <w:r w:rsidRPr="00505EE8">
          <w:rPr>
            <w:rStyle w:val="af"/>
            <w:rFonts w:eastAsia="宋体"/>
            <w:noProof/>
          </w:rPr>
          <w:t>Observation 3:</w:t>
        </w:r>
        <w:r>
          <w:rPr>
            <w:rFonts w:asciiTheme="minorHAnsi" w:hAnsiTheme="minorHAnsi" w:cstheme="minorBidi"/>
            <w:b w:val="0"/>
            <w:bCs w:val="0"/>
            <w:i w:val="0"/>
            <w:iCs w:val="0"/>
            <w:noProof/>
            <w:sz w:val="21"/>
            <w:szCs w:val="22"/>
          </w:rPr>
          <w:tab/>
        </w:r>
        <w:r w:rsidRPr="00505EE8">
          <w:rPr>
            <w:rStyle w:val="af"/>
            <w:noProof/>
          </w:rPr>
          <w:t>Dynamic H/S/NA configuration selection between Rel-17 frequency domain H/S/NA configuration and Rel-16 time domain H/S/NA configuration may lead to inconsistent understanding of H/S/NA frequency on an IAB-node DU.</w:t>
        </w:r>
      </w:hyperlink>
    </w:p>
    <w:p w:rsidR="00E11052" w:rsidRDefault="00E11052">
      <w:pPr>
        <w:pStyle w:val="10"/>
        <w:tabs>
          <w:tab w:val="left" w:pos="1470"/>
        </w:tabs>
        <w:spacing w:before="120" w:after="120"/>
        <w:rPr>
          <w:rFonts w:asciiTheme="minorHAnsi" w:hAnsiTheme="minorHAnsi" w:cstheme="minorBidi"/>
          <w:b w:val="0"/>
          <w:bCs w:val="0"/>
          <w:i w:val="0"/>
          <w:iCs w:val="0"/>
          <w:noProof/>
          <w:sz w:val="21"/>
          <w:szCs w:val="22"/>
        </w:rPr>
      </w:pPr>
      <w:hyperlink w:anchor="_Toc83923099" w:history="1">
        <w:r w:rsidRPr="00505EE8">
          <w:rPr>
            <w:rStyle w:val="af"/>
            <w:rFonts w:eastAsia="宋体"/>
            <w:noProof/>
          </w:rPr>
          <w:t>Observation 4:</w:t>
        </w:r>
        <w:r>
          <w:rPr>
            <w:rFonts w:asciiTheme="minorHAnsi" w:hAnsiTheme="minorHAnsi" w:cstheme="minorBidi"/>
            <w:b w:val="0"/>
            <w:bCs w:val="0"/>
            <w:i w:val="0"/>
            <w:iCs w:val="0"/>
            <w:noProof/>
            <w:sz w:val="21"/>
            <w:szCs w:val="22"/>
          </w:rPr>
          <w:tab/>
        </w:r>
        <w:r w:rsidRPr="00505EE8">
          <w:rPr>
            <w:rStyle w:val="af"/>
            <w:noProof/>
          </w:rPr>
          <w:t>Alt. 3 has less specification impact and is better compatible with Rel-16 availability indication of soft resources.</w:t>
        </w:r>
      </w:hyperlink>
    </w:p>
    <w:p w:rsidR="00E11052" w:rsidRDefault="00E11052">
      <w:pPr>
        <w:pStyle w:val="10"/>
        <w:tabs>
          <w:tab w:val="left" w:pos="1470"/>
        </w:tabs>
        <w:spacing w:before="120" w:after="120"/>
        <w:rPr>
          <w:rFonts w:asciiTheme="minorHAnsi" w:hAnsiTheme="minorHAnsi" w:cstheme="minorBidi"/>
          <w:b w:val="0"/>
          <w:bCs w:val="0"/>
          <w:i w:val="0"/>
          <w:iCs w:val="0"/>
          <w:noProof/>
          <w:sz w:val="21"/>
          <w:szCs w:val="22"/>
        </w:rPr>
      </w:pPr>
      <w:hyperlink w:anchor="_Toc83923100" w:history="1">
        <w:r w:rsidRPr="00505EE8">
          <w:rPr>
            <w:rStyle w:val="af"/>
            <w:rFonts w:eastAsia="宋体"/>
            <w:noProof/>
          </w:rPr>
          <w:t>Observation 5:</w:t>
        </w:r>
        <w:r>
          <w:rPr>
            <w:rFonts w:asciiTheme="minorHAnsi" w:hAnsiTheme="minorHAnsi" w:cstheme="minorBidi"/>
            <w:b w:val="0"/>
            <w:bCs w:val="0"/>
            <w:i w:val="0"/>
            <w:iCs w:val="0"/>
            <w:noProof/>
            <w:sz w:val="21"/>
            <w:szCs w:val="22"/>
          </w:rPr>
          <w:tab/>
        </w:r>
        <w:r w:rsidRPr="00505EE8">
          <w:rPr>
            <w:rStyle w:val="af"/>
            <w:noProof/>
          </w:rPr>
          <w:t>It is sufficient to indicate the preferred beams for IAB node MT to its parent node.</w:t>
        </w:r>
      </w:hyperlink>
    </w:p>
    <w:p w:rsidR="00E11052" w:rsidRDefault="00E11052">
      <w:pPr>
        <w:pStyle w:val="10"/>
        <w:tabs>
          <w:tab w:val="left" w:pos="1470"/>
        </w:tabs>
        <w:spacing w:before="120" w:after="120"/>
        <w:rPr>
          <w:rFonts w:asciiTheme="minorHAnsi" w:hAnsiTheme="minorHAnsi" w:cstheme="minorBidi"/>
          <w:b w:val="0"/>
          <w:bCs w:val="0"/>
          <w:i w:val="0"/>
          <w:iCs w:val="0"/>
          <w:noProof/>
          <w:sz w:val="21"/>
          <w:szCs w:val="22"/>
        </w:rPr>
      </w:pPr>
      <w:hyperlink w:anchor="_Toc83923101" w:history="1">
        <w:r w:rsidRPr="00505EE8">
          <w:rPr>
            <w:rStyle w:val="af"/>
            <w:rFonts w:eastAsia="宋体"/>
            <w:noProof/>
          </w:rPr>
          <w:t>Observation 6:</w:t>
        </w:r>
        <w:r>
          <w:rPr>
            <w:rFonts w:asciiTheme="minorHAnsi" w:hAnsiTheme="minorHAnsi" w:cstheme="minorBidi"/>
            <w:b w:val="0"/>
            <w:bCs w:val="0"/>
            <w:i w:val="0"/>
            <w:iCs w:val="0"/>
            <w:noProof/>
            <w:sz w:val="21"/>
            <w:szCs w:val="22"/>
          </w:rPr>
          <w:tab/>
        </w:r>
        <w:r w:rsidRPr="00505EE8">
          <w:rPr>
            <w:rStyle w:val="af"/>
            <w:rFonts w:cs="Times"/>
            <w:noProof/>
          </w:rPr>
          <w:t>For a given time resource, actual multiplexing case adopted by an IAB-node can be determined according to timing mode indication, power control parameters provided by its parent node, beams used by IAB node DU and MT, resource type (i.e. DL, F, UL) of IAB node DU and MT etc.</w:t>
        </w:r>
      </w:hyperlink>
    </w:p>
    <w:p w:rsidR="00DF1CD0" w:rsidRDefault="00E11052">
      <w:pPr>
        <w:spacing w:before="120" w:after="120"/>
        <w:rPr>
          <w:sz w:val="20"/>
        </w:rPr>
      </w:pPr>
      <w:r>
        <w:fldChar w:fldCharType="end"/>
      </w:r>
    </w:p>
    <w:bookmarkStart w:id="123" w:name="_GoBack"/>
    <w:bookmarkEnd w:id="123"/>
    <w:p w:rsidR="00E11052" w:rsidRDefault="00E11052">
      <w:pPr>
        <w:pStyle w:val="10"/>
        <w:tabs>
          <w:tab w:val="left" w:pos="1282"/>
        </w:tabs>
        <w:spacing w:before="120" w:after="120"/>
        <w:rPr>
          <w:rFonts w:asciiTheme="minorHAnsi" w:hAnsiTheme="minorHAnsi" w:cstheme="minorBidi"/>
          <w:b w:val="0"/>
          <w:bCs w:val="0"/>
          <w:i w:val="0"/>
          <w:iCs w:val="0"/>
          <w:noProof/>
          <w:sz w:val="21"/>
          <w:szCs w:val="22"/>
        </w:rPr>
      </w:pPr>
      <w:r>
        <w:fldChar w:fldCharType="begin"/>
      </w:r>
      <w:r>
        <w:instrText>TOC \n  \t "YJ-Proposal,1,sub-proposal,2,3rd level proposal,3" \h</w:instrText>
      </w:r>
      <w:r>
        <w:fldChar w:fldCharType="separate"/>
      </w:r>
      <w:hyperlink w:anchor="_Toc83923102" w:history="1">
        <w:r w:rsidRPr="00446F1F">
          <w:rPr>
            <w:rStyle w:val="af"/>
            <w:rFonts w:eastAsia="宋体"/>
            <w:noProof/>
          </w:rPr>
          <w:t>Proposal 1:</w:t>
        </w:r>
        <w:r>
          <w:rPr>
            <w:rFonts w:asciiTheme="minorHAnsi" w:hAnsiTheme="minorHAnsi" w:cstheme="minorBidi"/>
            <w:b w:val="0"/>
            <w:bCs w:val="0"/>
            <w:i w:val="0"/>
            <w:iCs w:val="0"/>
            <w:noProof/>
            <w:sz w:val="21"/>
            <w:szCs w:val="22"/>
          </w:rPr>
          <w:tab/>
        </w:r>
        <w:r w:rsidRPr="00446F1F">
          <w:rPr>
            <w:rStyle w:val="af"/>
            <w:noProof/>
          </w:rPr>
          <w:t>N is a number of PRBs configured per DU cell by the CU regardless single or multiple BWPs are configured at the IAB MT.</w:t>
        </w:r>
      </w:hyperlink>
    </w:p>
    <w:p w:rsidR="00E11052" w:rsidRDefault="00E11052">
      <w:pPr>
        <w:pStyle w:val="10"/>
        <w:tabs>
          <w:tab w:val="left" w:pos="1282"/>
        </w:tabs>
        <w:spacing w:before="120" w:after="120"/>
        <w:rPr>
          <w:rFonts w:asciiTheme="minorHAnsi" w:hAnsiTheme="minorHAnsi" w:cstheme="minorBidi"/>
          <w:b w:val="0"/>
          <w:bCs w:val="0"/>
          <w:i w:val="0"/>
          <w:iCs w:val="0"/>
          <w:noProof/>
          <w:sz w:val="21"/>
          <w:szCs w:val="22"/>
        </w:rPr>
      </w:pPr>
      <w:hyperlink w:anchor="_Toc83923103" w:history="1">
        <w:r w:rsidRPr="00446F1F">
          <w:rPr>
            <w:rStyle w:val="af"/>
            <w:rFonts w:eastAsia="宋体"/>
            <w:noProof/>
          </w:rPr>
          <w:t>Proposal 2:</w:t>
        </w:r>
        <w:r>
          <w:rPr>
            <w:rFonts w:asciiTheme="minorHAnsi" w:hAnsiTheme="minorHAnsi" w:cstheme="minorBidi"/>
            <w:b w:val="0"/>
            <w:bCs w:val="0"/>
            <w:i w:val="0"/>
            <w:iCs w:val="0"/>
            <w:noProof/>
            <w:sz w:val="21"/>
            <w:szCs w:val="22"/>
          </w:rPr>
          <w:tab/>
        </w:r>
        <w:r w:rsidRPr="00446F1F">
          <w:rPr>
            <w:rStyle w:val="af"/>
            <w:noProof/>
          </w:rPr>
          <w:t>For semi-static frequency domain H/S/NA configuration:</w:t>
        </w:r>
      </w:hyperlink>
    </w:p>
    <w:p w:rsidR="00E11052" w:rsidRDefault="00E11052">
      <w:pPr>
        <w:pStyle w:val="20"/>
        <w:tabs>
          <w:tab w:val="left" w:pos="862"/>
        </w:tabs>
        <w:spacing w:before="120" w:after="120"/>
        <w:ind w:left="822" w:hanging="402"/>
        <w:rPr>
          <w:rFonts w:asciiTheme="minorHAnsi" w:eastAsiaTheme="minorEastAsia" w:hAnsiTheme="minorHAnsi" w:cstheme="minorBidi"/>
          <w:b w:val="0"/>
          <w:i w:val="0"/>
          <w:noProof/>
          <w:sz w:val="21"/>
          <w:szCs w:val="22"/>
        </w:rPr>
      </w:pPr>
      <w:hyperlink w:anchor="_Toc83923104" w:history="1">
        <w:r w:rsidRPr="00446F1F">
          <w:rPr>
            <w:rStyle w:val="af"/>
            <w:rFonts w:ascii="Arial" w:hAnsi="Arial" w:cs="Arial"/>
            <w:noProof/>
          </w:rPr>
          <w:t>•</w:t>
        </w:r>
        <w:r>
          <w:rPr>
            <w:rFonts w:asciiTheme="minorHAnsi" w:eastAsiaTheme="minorEastAsia" w:hAnsiTheme="minorHAnsi" w:cstheme="minorBidi"/>
            <w:b w:val="0"/>
            <w:i w:val="0"/>
            <w:noProof/>
            <w:sz w:val="21"/>
            <w:szCs w:val="22"/>
          </w:rPr>
          <w:tab/>
        </w:r>
        <w:r w:rsidRPr="00446F1F">
          <w:rPr>
            <w:rStyle w:val="af"/>
            <w:noProof/>
          </w:rPr>
          <w:t>The reference SCS defined in Rel-17 is used to determine the frequency domain granularity, i.e., per RB set, of the frequency domain H/S/NA configuration.</w:t>
        </w:r>
      </w:hyperlink>
    </w:p>
    <w:p w:rsidR="00E11052" w:rsidRDefault="00E11052">
      <w:pPr>
        <w:pStyle w:val="20"/>
        <w:tabs>
          <w:tab w:val="left" w:pos="862"/>
        </w:tabs>
        <w:spacing w:before="120" w:after="120"/>
        <w:ind w:left="822" w:hanging="402"/>
        <w:rPr>
          <w:rFonts w:asciiTheme="minorHAnsi" w:eastAsiaTheme="minorEastAsia" w:hAnsiTheme="minorHAnsi" w:cstheme="minorBidi"/>
          <w:b w:val="0"/>
          <w:i w:val="0"/>
          <w:noProof/>
          <w:sz w:val="21"/>
          <w:szCs w:val="22"/>
        </w:rPr>
      </w:pPr>
      <w:hyperlink w:anchor="_Toc83923105" w:history="1">
        <w:r w:rsidRPr="00446F1F">
          <w:rPr>
            <w:rStyle w:val="af"/>
            <w:rFonts w:ascii="Arial" w:hAnsi="Arial" w:cs="Arial"/>
            <w:noProof/>
          </w:rPr>
          <w:t>•</w:t>
        </w:r>
        <w:r>
          <w:rPr>
            <w:rFonts w:asciiTheme="minorHAnsi" w:eastAsiaTheme="minorEastAsia" w:hAnsiTheme="minorHAnsi" w:cstheme="minorBidi"/>
            <w:b w:val="0"/>
            <w:i w:val="0"/>
            <w:noProof/>
            <w:sz w:val="21"/>
            <w:szCs w:val="22"/>
          </w:rPr>
          <w:tab/>
        </w:r>
        <w:r w:rsidRPr="00446F1F">
          <w:rPr>
            <w:rStyle w:val="af"/>
            <w:noProof/>
          </w:rPr>
          <w:t>The SCS defined in Rel-16 for the D/F/U configuration is reused to determine the time domain granularity, i.e., per D/U/F resource type within a slot, of the frequency domain H/S/NA configuration.</w:t>
        </w:r>
      </w:hyperlink>
    </w:p>
    <w:p w:rsidR="00E11052" w:rsidRDefault="00E11052">
      <w:pPr>
        <w:pStyle w:val="10"/>
        <w:tabs>
          <w:tab w:val="left" w:pos="1282"/>
        </w:tabs>
        <w:spacing w:before="120" w:after="120"/>
        <w:rPr>
          <w:rFonts w:asciiTheme="minorHAnsi" w:hAnsiTheme="minorHAnsi" w:cstheme="minorBidi"/>
          <w:b w:val="0"/>
          <w:bCs w:val="0"/>
          <w:i w:val="0"/>
          <w:iCs w:val="0"/>
          <w:noProof/>
          <w:sz w:val="21"/>
          <w:szCs w:val="22"/>
        </w:rPr>
      </w:pPr>
      <w:hyperlink w:anchor="_Toc83923106" w:history="1">
        <w:r w:rsidRPr="00446F1F">
          <w:rPr>
            <w:rStyle w:val="af"/>
            <w:rFonts w:eastAsia="宋体"/>
            <w:noProof/>
          </w:rPr>
          <w:t>Proposal 3:</w:t>
        </w:r>
        <w:r>
          <w:rPr>
            <w:rFonts w:asciiTheme="minorHAnsi" w:hAnsiTheme="minorHAnsi" w:cstheme="minorBidi"/>
            <w:b w:val="0"/>
            <w:bCs w:val="0"/>
            <w:i w:val="0"/>
            <w:iCs w:val="0"/>
            <w:noProof/>
            <w:sz w:val="21"/>
            <w:szCs w:val="22"/>
          </w:rPr>
          <w:tab/>
        </w:r>
        <w:r w:rsidRPr="00446F1F">
          <w:rPr>
            <w:rStyle w:val="af"/>
            <w:noProof/>
          </w:rPr>
          <w:t>The carrier corresponding to the reference SCS in the carrier list of the IAB-node DU cell is used as the reference carrier to determine RB sets for frequency domain H/S/NA configuration.</w:t>
        </w:r>
      </w:hyperlink>
    </w:p>
    <w:p w:rsidR="00E11052" w:rsidRDefault="00E11052">
      <w:pPr>
        <w:pStyle w:val="10"/>
        <w:tabs>
          <w:tab w:val="left" w:pos="1282"/>
        </w:tabs>
        <w:spacing w:before="120" w:after="120"/>
        <w:rPr>
          <w:rFonts w:asciiTheme="minorHAnsi" w:hAnsiTheme="minorHAnsi" w:cstheme="minorBidi"/>
          <w:b w:val="0"/>
          <w:bCs w:val="0"/>
          <w:i w:val="0"/>
          <w:iCs w:val="0"/>
          <w:noProof/>
          <w:sz w:val="21"/>
          <w:szCs w:val="22"/>
        </w:rPr>
      </w:pPr>
      <w:hyperlink w:anchor="_Toc83923107" w:history="1">
        <w:r w:rsidRPr="00446F1F">
          <w:rPr>
            <w:rStyle w:val="af"/>
            <w:rFonts w:eastAsia="宋体"/>
            <w:noProof/>
          </w:rPr>
          <w:t>Proposal 4:</w:t>
        </w:r>
        <w:r>
          <w:rPr>
            <w:rFonts w:asciiTheme="minorHAnsi" w:hAnsiTheme="minorHAnsi" w:cstheme="minorBidi"/>
            <w:b w:val="0"/>
            <w:bCs w:val="0"/>
            <w:i w:val="0"/>
            <w:iCs w:val="0"/>
            <w:noProof/>
            <w:sz w:val="21"/>
            <w:szCs w:val="22"/>
          </w:rPr>
          <w:tab/>
        </w:r>
        <w:r w:rsidRPr="00446F1F">
          <w:rPr>
            <w:rStyle w:val="af"/>
            <w:noProof/>
          </w:rPr>
          <w:t>A parent node should be made aware of the SCS-specific carriers and frequency domain H/S/NA configuration of its child node DU’s cell(s).</w:t>
        </w:r>
      </w:hyperlink>
    </w:p>
    <w:p w:rsidR="00E11052" w:rsidRDefault="00E11052">
      <w:pPr>
        <w:pStyle w:val="10"/>
        <w:tabs>
          <w:tab w:val="left" w:pos="1282"/>
        </w:tabs>
        <w:spacing w:before="120" w:after="120"/>
        <w:rPr>
          <w:rFonts w:asciiTheme="minorHAnsi" w:hAnsiTheme="minorHAnsi" w:cstheme="minorBidi"/>
          <w:b w:val="0"/>
          <w:bCs w:val="0"/>
          <w:i w:val="0"/>
          <w:iCs w:val="0"/>
          <w:noProof/>
          <w:sz w:val="21"/>
          <w:szCs w:val="22"/>
        </w:rPr>
      </w:pPr>
      <w:hyperlink w:anchor="_Toc83923108" w:history="1">
        <w:r w:rsidRPr="00446F1F">
          <w:rPr>
            <w:rStyle w:val="af"/>
            <w:rFonts w:eastAsia="宋体"/>
            <w:noProof/>
          </w:rPr>
          <w:t>Proposal 5:</w:t>
        </w:r>
        <w:r>
          <w:rPr>
            <w:rFonts w:asciiTheme="minorHAnsi" w:hAnsiTheme="minorHAnsi" w:cstheme="minorBidi"/>
            <w:b w:val="0"/>
            <w:bCs w:val="0"/>
            <w:i w:val="0"/>
            <w:iCs w:val="0"/>
            <w:noProof/>
            <w:sz w:val="21"/>
            <w:szCs w:val="22"/>
          </w:rPr>
          <w:tab/>
        </w:r>
        <w:r w:rsidRPr="00446F1F">
          <w:rPr>
            <w:rStyle w:val="af"/>
            <w:noProof/>
          </w:rPr>
          <w:t>Rel-17 frequency domain H/S/NA configuration, if provided, always overrides Rel-16 time domain H/S/NA configuration.</w:t>
        </w:r>
      </w:hyperlink>
    </w:p>
    <w:p w:rsidR="00E11052" w:rsidRDefault="00E11052">
      <w:pPr>
        <w:pStyle w:val="10"/>
        <w:tabs>
          <w:tab w:val="left" w:pos="1282"/>
        </w:tabs>
        <w:spacing w:before="120" w:after="120"/>
        <w:rPr>
          <w:rFonts w:asciiTheme="minorHAnsi" w:hAnsiTheme="minorHAnsi" w:cstheme="minorBidi"/>
          <w:b w:val="0"/>
          <w:bCs w:val="0"/>
          <w:i w:val="0"/>
          <w:iCs w:val="0"/>
          <w:noProof/>
          <w:sz w:val="21"/>
          <w:szCs w:val="22"/>
        </w:rPr>
      </w:pPr>
      <w:hyperlink w:anchor="_Toc83923109" w:history="1">
        <w:r w:rsidRPr="00446F1F">
          <w:rPr>
            <w:rStyle w:val="af"/>
            <w:rFonts w:eastAsia="宋体"/>
            <w:noProof/>
          </w:rPr>
          <w:t>Proposal 6:</w:t>
        </w:r>
        <w:r>
          <w:rPr>
            <w:rFonts w:asciiTheme="minorHAnsi" w:hAnsiTheme="minorHAnsi" w:cstheme="minorBidi"/>
            <w:b w:val="0"/>
            <w:bCs w:val="0"/>
            <w:i w:val="0"/>
            <w:iCs w:val="0"/>
            <w:noProof/>
            <w:sz w:val="21"/>
            <w:szCs w:val="22"/>
          </w:rPr>
          <w:tab/>
        </w:r>
        <w:r w:rsidRPr="00446F1F">
          <w:rPr>
            <w:rStyle w:val="af"/>
            <w:rFonts w:cs="Times"/>
            <w:noProof/>
          </w:rPr>
          <w:t>Rel-16 DCI Format 2_5 is full reused to indicate soft resource availability for TDM and FDM slots (i.e. Alt. 3):</w:t>
        </w:r>
      </w:hyperlink>
    </w:p>
    <w:p w:rsidR="00E11052" w:rsidRDefault="00E11052">
      <w:pPr>
        <w:pStyle w:val="20"/>
        <w:tabs>
          <w:tab w:val="left" w:pos="862"/>
        </w:tabs>
        <w:spacing w:before="120" w:after="120"/>
        <w:ind w:left="822" w:hanging="402"/>
        <w:rPr>
          <w:rFonts w:asciiTheme="minorHAnsi" w:eastAsiaTheme="minorEastAsia" w:hAnsiTheme="minorHAnsi" w:cstheme="minorBidi"/>
          <w:b w:val="0"/>
          <w:i w:val="0"/>
          <w:noProof/>
          <w:sz w:val="21"/>
          <w:szCs w:val="22"/>
        </w:rPr>
      </w:pPr>
      <w:hyperlink w:anchor="_Toc83923110" w:history="1">
        <w:r w:rsidRPr="00446F1F">
          <w:rPr>
            <w:rStyle w:val="af"/>
            <w:rFonts w:ascii="Arial" w:hAnsi="Arial" w:cs="Arial"/>
            <w:noProof/>
          </w:rPr>
          <w:t>•</w:t>
        </w:r>
        <w:r>
          <w:rPr>
            <w:rFonts w:asciiTheme="minorHAnsi" w:eastAsiaTheme="minorEastAsia" w:hAnsiTheme="minorHAnsi" w:cstheme="minorBidi"/>
            <w:b w:val="0"/>
            <w:i w:val="0"/>
            <w:noProof/>
            <w:sz w:val="21"/>
            <w:szCs w:val="22"/>
          </w:rPr>
          <w:tab/>
        </w:r>
        <w:r w:rsidRPr="00446F1F">
          <w:rPr>
            <w:rStyle w:val="af"/>
            <w:rFonts w:cs="Times"/>
            <w:noProof/>
          </w:rPr>
          <w:t xml:space="preserve">For TDM slot, </w:t>
        </w:r>
        <w:r w:rsidRPr="00446F1F">
          <w:rPr>
            <w:rStyle w:val="af"/>
            <w:noProof/>
          </w:rPr>
          <w:t xml:space="preserve">availability indication is valid </w:t>
        </w:r>
        <w:r w:rsidRPr="00446F1F">
          <w:rPr>
            <w:rStyle w:val="af"/>
            <w:rFonts w:cs="Times"/>
            <w:noProof/>
          </w:rPr>
          <w:t>for all soft symbols in the slot</w:t>
        </w:r>
      </w:hyperlink>
    </w:p>
    <w:p w:rsidR="00E11052" w:rsidRDefault="00E11052">
      <w:pPr>
        <w:pStyle w:val="20"/>
        <w:tabs>
          <w:tab w:val="left" w:pos="862"/>
        </w:tabs>
        <w:spacing w:before="120" w:after="120"/>
        <w:ind w:left="822" w:hanging="402"/>
        <w:rPr>
          <w:rFonts w:asciiTheme="minorHAnsi" w:eastAsiaTheme="minorEastAsia" w:hAnsiTheme="minorHAnsi" w:cstheme="minorBidi"/>
          <w:b w:val="0"/>
          <w:i w:val="0"/>
          <w:noProof/>
          <w:sz w:val="21"/>
          <w:szCs w:val="22"/>
        </w:rPr>
      </w:pPr>
      <w:hyperlink w:anchor="_Toc83923111" w:history="1">
        <w:r w:rsidRPr="00446F1F">
          <w:rPr>
            <w:rStyle w:val="af"/>
            <w:rFonts w:ascii="Arial" w:hAnsi="Arial" w:cs="Arial"/>
            <w:noProof/>
          </w:rPr>
          <w:t>•</w:t>
        </w:r>
        <w:r>
          <w:rPr>
            <w:rFonts w:asciiTheme="minorHAnsi" w:eastAsiaTheme="minorEastAsia" w:hAnsiTheme="minorHAnsi" w:cstheme="minorBidi"/>
            <w:b w:val="0"/>
            <w:i w:val="0"/>
            <w:noProof/>
            <w:sz w:val="21"/>
            <w:szCs w:val="22"/>
          </w:rPr>
          <w:tab/>
        </w:r>
        <w:r w:rsidRPr="00446F1F">
          <w:rPr>
            <w:rStyle w:val="af"/>
            <w:rFonts w:cs="Times"/>
            <w:noProof/>
          </w:rPr>
          <w:t xml:space="preserve">For FDM slot, </w:t>
        </w:r>
        <w:r w:rsidRPr="00446F1F">
          <w:rPr>
            <w:rStyle w:val="af"/>
            <w:noProof/>
          </w:rPr>
          <w:t>availability indication</w:t>
        </w:r>
        <w:r w:rsidRPr="00446F1F">
          <w:rPr>
            <w:rStyle w:val="af"/>
            <w:rFonts w:cs="Times"/>
            <w:noProof/>
          </w:rPr>
          <w:t xml:space="preserve"> is valid for all soft RB sets in the slot</w:t>
        </w:r>
        <w:r w:rsidRPr="00446F1F">
          <w:rPr>
            <w:rStyle w:val="af"/>
            <w:noProof/>
          </w:rPr>
          <w:t>.</w:t>
        </w:r>
      </w:hyperlink>
    </w:p>
    <w:p w:rsidR="00E11052" w:rsidRDefault="00E11052">
      <w:pPr>
        <w:pStyle w:val="10"/>
        <w:tabs>
          <w:tab w:val="left" w:pos="1282"/>
        </w:tabs>
        <w:spacing w:before="120" w:after="120"/>
        <w:rPr>
          <w:rFonts w:asciiTheme="minorHAnsi" w:hAnsiTheme="minorHAnsi" w:cstheme="minorBidi"/>
          <w:b w:val="0"/>
          <w:bCs w:val="0"/>
          <w:i w:val="0"/>
          <w:iCs w:val="0"/>
          <w:noProof/>
          <w:sz w:val="21"/>
          <w:szCs w:val="22"/>
        </w:rPr>
      </w:pPr>
      <w:hyperlink w:anchor="_Toc83923112" w:history="1">
        <w:r w:rsidRPr="00446F1F">
          <w:rPr>
            <w:rStyle w:val="af"/>
            <w:rFonts w:eastAsia="宋体"/>
            <w:noProof/>
          </w:rPr>
          <w:t>Proposal 7:</w:t>
        </w:r>
        <w:r>
          <w:rPr>
            <w:rFonts w:asciiTheme="minorHAnsi" w:hAnsiTheme="minorHAnsi" w:cstheme="minorBidi"/>
            <w:b w:val="0"/>
            <w:bCs w:val="0"/>
            <w:i w:val="0"/>
            <w:iCs w:val="0"/>
            <w:noProof/>
            <w:sz w:val="21"/>
            <w:szCs w:val="22"/>
          </w:rPr>
          <w:tab/>
        </w:r>
        <w:r w:rsidRPr="00446F1F">
          <w:rPr>
            <w:rStyle w:val="af"/>
            <w:noProof/>
          </w:rPr>
          <w:t>The IAB-node MT indicates recommended beams to its parent node by MAC CE signalling.</w:t>
        </w:r>
      </w:hyperlink>
    </w:p>
    <w:p w:rsidR="00E11052" w:rsidRDefault="00E11052">
      <w:pPr>
        <w:pStyle w:val="10"/>
        <w:tabs>
          <w:tab w:val="left" w:pos="1282"/>
        </w:tabs>
        <w:spacing w:before="120" w:after="120"/>
        <w:rPr>
          <w:rFonts w:asciiTheme="minorHAnsi" w:hAnsiTheme="minorHAnsi" w:cstheme="minorBidi"/>
          <w:b w:val="0"/>
          <w:bCs w:val="0"/>
          <w:i w:val="0"/>
          <w:iCs w:val="0"/>
          <w:noProof/>
          <w:sz w:val="21"/>
          <w:szCs w:val="22"/>
        </w:rPr>
      </w:pPr>
      <w:hyperlink w:anchor="_Toc83923113" w:history="1">
        <w:r w:rsidRPr="00446F1F">
          <w:rPr>
            <w:rStyle w:val="af"/>
            <w:rFonts w:eastAsia="宋体"/>
            <w:noProof/>
          </w:rPr>
          <w:t>Proposal 8:</w:t>
        </w:r>
        <w:r>
          <w:rPr>
            <w:rFonts w:asciiTheme="minorHAnsi" w:hAnsiTheme="minorHAnsi" w:cstheme="minorBidi"/>
            <w:b w:val="0"/>
            <w:bCs w:val="0"/>
            <w:i w:val="0"/>
            <w:iCs w:val="0"/>
            <w:noProof/>
            <w:sz w:val="21"/>
            <w:szCs w:val="22"/>
          </w:rPr>
          <w:tab/>
        </w:r>
        <w:r w:rsidRPr="00446F1F">
          <w:rPr>
            <w:rStyle w:val="af"/>
            <w:noProof/>
          </w:rPr>
          <w:t>For the child node indication of recommended beams, IAB-MT DL beams are defined by TCI state ID, IAB-MT UL beams are defined by SRI.</w:t>
        </w:r>
      </w:hyperlink>
    </w:p>
    <w:p w:rsidR="00E11052" w:rsidRDefault="00E11052">
      <w:pPr>
        <w:pStyle w:val="10"/>
        <w:tabs>
          <w:tab w:val="left" w:pos="1282"/>
        </w:tabs>
        <w:spacing w:before="120" w:after="120"/>
        <w:rPr>
          <w:rFonts w:asciiTheme="minorHAnsi" w:hAnsiTheme="minorHAnsi" w:cstheme="minorBidi"/>
          <w:b w:val="0"/>
          <w:bCs w:val="0"/>
          <w:i w:val="0"/>
          <w:iCs w:val="0"/>
          <w:noProof/>
          <w:sz w:val="21"/>
          <w:szCs w:val="22"/>
        </w:rPr>
      </w:pPr>
      <w:hyperlink w:anchor="_Toc83923114" w:history="1">
        <w:r w:rsidRPr="00446F1F">
          <w:rPr>
            <w:rStyle w:val="af"/>
            <w:rFonts w:eastAsia="宋体"/>
            <w:noProof/>
          </w:rPr>
          <w:t>Proposal 9:</w:t>
        </w:r>
        <w:r>
          <w:rPr>
            <w:rFonts w:asciiTheme="minorHAnsi" w:hAnsiTheme="minorHAnsi" w:cstheme="minorBidi"/>
            <w:b w:val="0"/>
            <w:bCs w:val="0"/>
            <w:i w:val="0"/>
            <w:iCs w:val="0"/>
            <w:noProof/>
            <w:sz w:val="21"/>
            <w:szCs w:val="22"/>
          </w:rPr>
          <w:tab/>
        </w:r>
        <w:r w:rsidRPr="00446F1F">
          <w:rPr>
            <w:rStyle w:val="af"/>
            <w:noProof/>
          </w:rPr>
          <w:t>Indication of IAB MT “not preferred” beams to its parent node is not supported.</w:t>
        </w:r>
      </w:hyperlink>
    </w:p>
    <w:p w:rsidR="00E11052" w:rsidRDefault="00E11052">
      <w:pPr>
        <w:pStyle w:val="10"/>
        <w:tabs>
          <w:tab w:val="left" w:pos="1282"/>
        </w:tabs>
        <w:spacing w:before="120" w:after="120"/>
        <w:rPr>
          <w:rFonts w:asciiTheme="minorHAnsi" w:hAnsiTheme="minorHAnsi" w:cstheme="minorBidi"/>
          <w:b w:val="0"/>
          <w:bCs w:val="0"/>
          <w:i w:val="0"/>
          <w:iCs w:val="0"/>
          <w:noProof/>
          <w:sz w:val="21"/>
          <w:szCs w:val="22"/>
        </w:rPr>
      </w:pPr>
      <w:hyperlink w:anchor="_Toc83923115" w:history="1">
        <w:r w:rsidRPr="00446F1F">
          <w:rPr>
            <w:rStyle w:val="af"/>
            <w:rFonts w:eastAsia="宋体"/>
            <w:noProof/>
          </w:rPr>
          <w:t>Proposal 10:</w:t>
        </w:r>
        <w:r>
          <w:rPr>
            <w:rFonts w:asciiTheme="minorHAnsi" w:hAnsiTheme="minorHAnsi" w:cstheme="minorBidi"/>
            <w:b w:val="0"/>
            <w:bCs w:val="0"/>
            <w:i w:val="0"/>
            <w:iCs w:val="0"/>
            <w:noProof/>
            <w:sz w:val="21"/>
            <w:szCs w:val="22"/>
          </w:rPr>
          <w:tab/>
        </w:r>
        <w:r w:rsidRPr="00446F1F">
          <w:rPr>
            <w:rStyle w:val="af"/>
            <w:rFonts w:cs="Times"/>
            <w:noProof/>
          </w:rPr>
          <w:t>R</w:t>
        </w:r>
        <w:r w:rsidRPr="00446F1F">
          <w:rPr>
            <w:rStyle w:val="af"/>
            <w:rFonts w:eastAsia="Times New Roman" w:cs="Times"/>
            <w:noProof/>
          </w:rPr>
          <w:t>es</w:t>
        </w:r>
        <w:r w:rsidRPr="00446F1F">
          <w:rPr>
            <w:rStyle w:val="af"/>
            <w:rFonts w:cs="Times"/>
            <w:noProof/>
          </w:rPr>
          <w:t>tricted beams of its child IAB-node DU indicated by parent node are defined by RS ID (e.g.,</w:t>
        </w:r>
        <w:r w:rsidRPr="00446F1F">
          <w:rPr>
            <w:rStyle w:val="af"/>
            <w:noProof/>
          </w:rPr>
          <w:t xml:space="preserve"> SSB index</w:t>
        </w:r>
        <w:r w:rsidRPr="00446F1F">
          <w:rPr>
            <w:rStyle w:val="af"/>
            <w:rFonts w:cs="Times"/>
            <w:noProof/>
          </w:rPr>
          <w:t>)</w:t>
        </w:r>
        <w:r w:rsidRPr="00446F1F">
          <w:rPr>
            <w:rStyle w:val="af"/>
            <w:noProof/>
          </w:rPr>
          <w:t>.</w:t>
        </w:r>
      </w:hyperlink>
    </w:p>
    <w:p w:rsidR="00E11052" w:rsidRDefault="00E11052">
      <w:pPr>
        <w:pStyle w:val="10"/>
        <w:tabs>
          <w:tab w:val="left" w:pos="1282"/>
        </w:tabs>
        <w:spacing w:before="120" w:after="120"/>
        <w:rPr>
          <w:rFonts w:asciiTheme="minorHAnsi" w:hAnsiTheme="minorHAnsi" w:cstheme="minorBidi"/>
          <w:b w:val="0"/>
          <w:bCs w:val="0"/>
          <w:i w:val="0"/>
          <w:iCs w:val="0"/>
          <w:noProof/>
          <w:sz w:val="21"/>
          <w:szCs w:val="22"/>
        </w:rPr>
      </w:pPr>
      <w:hyperlink w:anchor="_Toc83923116" w:history="1">
        <w:r w:rsidRPr="00446F1F">
          <w:rPr>
            <w:rStyle w:val="af"/>
            <w:rFonts w:eastAsia="宋体"/>
            <w:noProof/>
          </w:rPr>
          <w:t>Proposal 11:</w:t>
        </w:r>
        <w:r>
          <w:rPr>
            <w:rFonts w:asciiTheme="minorHAnsi" w:hAnsiTheme="minorHAnsi" w:cstheme="minorBidi"/>
            <w:b w:val="0"/>
            <w:bCs w:val="0"/>
            <w:i w:val="0"/>
            <w:iCs w:val="0"/>
            <w:noProof/>
            <w:sz w:val="21"/>
            <w:szCs w:val="22"/>
          </w:rPr>
          <w:tab/>
        </w:r>
        <w:r w:rsidRPr="00446F1F">
          <w:rPr>
            <w:rStyle w:val="af"/>
            <w:noProof/>
          </w:rPr>
          <w:t>For a given time resource, the applied timing mode can be explicitly indicated by the parent node, while the expected multiplexing case at the given time resource can be implicitly determined based on the timing mode indication</w:t>
        </w:r>
        <w:r w:rsidRPr="00446F1F">
          <w:rPr>
            <w:rStyle w:val="af"/>
            <w:rFonts w:cs="Times"/>
            <w:noProof/>
          </w:rPr>
          <w:t>.</w:t>
        </w:r>
      </w:hyperlink>
    </w:p>
    <w:p w:rsidR="00E11052" w:rsidRDefault="00E11052">
      <w:pPr>
        <w:pStyle w:val="10"/>
        <w:tabs>
          <w:tab w:val="left" w:pos="1282"/>
        </w:tabs>
        <w:spacing w:before="120" w:after="120"/>
        <w:rPr>
          <w:rFonts w:asciiTheme="minorHAnsi" w:hAnsiTheme="minorHAnsi" w:cstheme="minorBidi"/>
          <w:b w:val="0"/>
          <w:bCs w:val="0"/>
          <w:i w:val="0"/>
          <w:iCs w:val="0"/>
          <w:noProof/>
          <w:sz w:val="21"/>
          <w:szCs w:val="22"/>
        </w:rPr>
      </w:pPr>
      <w:hyperlink w:anchor="_Toc83923117" w:history="1">
        <w:r w:rsidRPr="00446F1F">
          <w:rPr>
            <w:rStyle w:val="af"/>
            <w:rFonts w:eastAsia="宋体"/>
            <w:noProof/>
          </w:rPr>
          <w:t>Proposal 12:</w:t>
        </w:r>
        <w:r>
          <w:rPr>
            <w:rFonts w:asciiTheme="minorHAnsi" w:hAnsiTheme="minorHAnsi" w:cstheme="minorBidi"/>
            <w:b w:val="0"/>
            <w:bCs w:val="0"/>
            <w:i w:val="0"/>
            <w:iCs w:val="0"/>
            <w:noProof/>
            <w:sz w:val="21"/>
            <w:szCs w:val="22"/>
          </w:rPr>
          <w:tab/>
        </w:r>
        <w:r w:rsidRPr="00446F1F">
          <w:rPr>
            <w:rStyle w:val="af"/>
            <w:rFonts w:cs="Times"/>
            <w:noProof/>
          </w:rPr>
          <w:t>To handle the potential indication conflict of symbols configured as semi-static flexible by one or both parent nodes in inter-donor DC scenarios</w:t>
        </w:r>
        <w:r w:rsidRPr="00446F1F">
          <w:rPr>
            <w:rStyle w:val="af"/>
            <w:rFonts w:cs="Times" w:hint="eastAsia"/>
            <w:noProof/>
          </w:rPr>
          <w:t>：</w:t>
        </w:r>
      </w:hyperlink>
    </w:p>
    <w:p w:rsidR="00E11052" w:rsidRDefault="00E11052">
      <w:pPr>
        <w:pStyle w:val="20"/>
        <w:tabs>
          <w:tab w:val="left" w:pos="862"/>
        </w:tabs>
        <w:spacing w:before="120" w:after="120"/>
        <w:ind w:left="822" w:hanging="402"/>
        <w:rPr>
          <w:rFonts w:asciiTheme="minorHAnsi" w:eastAsiaTheme="minorEastAsia" w:hAnsiTheme="minorHAnsi" w:cstheme="minorBidi"/>
          <w:b w:val="0"/>
          <w:i w:val="0"/>
          <w:noProof/>
          <w:sz w:val="21"/>
          <w:szCs w:val="22"/>
        </w:rPr>
      </w:pPr>
      <w:hyperlink w:anchor="_Toc83923118" w:history="1">
        <w:r w:rsidRPr="00446F1F">
          <w:rPr>
            <w:rStyle w:val="af"/>
            <w:rFonts w:ascii="Arial" w:hAnsi="Arial" w:cs="Arial"/>
            <w:noProof/>
          </w:rPr>
          <w:t>•</w:t>
        </w:r>
        <w:r>
          <w:rPr>
            <w:rFonts w:asciiTheme="minorHAnsi" w:eastAsiaTheme="minorEastAsia" w:hAnsiTheme="minorHAnsi" w:cstheme="minorBidi"/>
            <w:b w:val="0"/>
            <w:i w:val="0"/>
            <w:noProof/>
            <w:sz w:val="21"/>
            <w:szCs w:val="22"/>
          </w:rPr>
          <w:tab/>
        </w:r>
        <w:r w:rsidRPr="00446F1F">
          <w:rPr>
            <w:rStyle w:val="af"/>
            <w:rFonts w:cs="Times"/>
            <w:noProof/>
          </w:rPr>
          <w:t>The IAB MT does not expect to receive conflicting DCI formats including DCI2_0 and dynamic scheduling grants from different parents.</w:t>
        </w:r>
      </w:hyperlink>
    </w:p>
    <w:p w:rsidR="00E11052" w:rsidRDefault="00E11052">
      <w:pPr>
        <w:pStyle w:val="10"/>
        <w:tabs>
          <w:tab w:val="left" w:pos="1282"/>
        </w:tabs>
        <w:spacing w:before="120" w:after="120"/>
        <w:rPr>
          <w:rFonts w:asciiTheme="minorHAnsi" w:hAnsiTheme="minorHAnsi" w:cstheme="minorBidi"/>
          <w:b w:val="0"/>
          <w:bCs w:val="0"/>
          <w:i w:val="0"/>
          <w:iCs w:val="0"/>
          <w:noProof/>
          <w:sz w:val="21"/>
          <w:szCs w:val="22"/>
        </w:rPr>
      </w:pPr>
      <w:hyperlink w:anchor="_Toc83923119" w:history="1">
        <w:r w:rsidRPr="00446F1F">
          <w:rPr>
            <w:rStyle w:val="af"/>
            <w:rFonts w:eastAsia="宋体"/>
            <w:noProof/>
          </w:rPr>
          <w:t>Proposal 13:</w:t>
        </w:r>
        <w:r>
          <w:rPr>
            <w:rFonts w:asciiTheme="minorHAnsi" w:hAnsiTheme="minorHAnsi" w:cstheme="minorBidi"/>
            <w:b w:val="0"/>
            <w:bCs w:val="0"/>
            <w:i w:val="0"/>
            <w:iCs w:val="0"/>
            <w:noProof/>
            <w:sz w:val="21"/>
            <w:szCs w:val="22"/>
          </w:rPr>
          <w:tab/>
        </w:r>
        <w:r w:rsidRPr="00446F1F">
          <w:rPr>
            <w:rStyle w:val="af"/>
            <w:noProof/>
          </w:rPr>
          <w:t>When IAB MT detects more than one DCI format 2_5, the IAB-MT expects that each of the more than one DCI formats 2_5 from the same CG indicates a same value for the availability combination of the soft resources in the slot.</w:t>
        </w:r>
      </w:hyperlink>
    </w:p>
    <w:p w:rsidR="00E11052" w:rsidRDefault="00E11052">
      <w:pPr>
        <w:pStyle w:val="10"/>
        <w:tabs>
          <w:tab w:val="left" w:pos="1282"/>
        </w:tabs>
        <w:spacing w:before="120" w:after="120"/>
        <w:rPr>
          <w:rFonts w:asciiTheme="minorHAnsi" w:hAnsiTheme="minorHAnsi" w:cstheme="minorBidi"/>
          <w:b w:val="0"/>
          <w:bCs w:val="0"/>
          <w:i w:val="0"/>
          <w:iCs w:val="0"/>
          <w:noProof/>
          <w:sz w:val="21"/>
          <w:szCs w:val="22"/>
        </w:rPr>
      </w:pPr>
      <w:hyperlink w:anchor="_Toc83923120" w:history="1">
        <w:r w:rsidRPr="00446F1F">
          <w:rPr>
            <w:rStyle w:val="af"/>
            <w:rFonts w:eastAsia="宋体"/>
            <w:noProof/>
          </w:rPr>
          <w:t>Proposal 14:</w:t>
        </w:r>
        <w:r>
          <w:rPr>
            <w:rFonts w:asciiTheme="minorHAnsi" w:hAnsiTheme="minorHAnsi" w:cstheme="minorBidi"/>
            <w:b w:val="0"/>
            <w:bCs w:val="0"/>
            <w:i w:val="0"/>
            <w:iCs w:val="0"/>
            <w:noProof/>
            <w:sz w:val="21"/>
            <w:szCs w:val="22"/>
          </w:rPr>
          <w:tab/>
        </w:r>
        <w:r w:rsidRPr="00446F1F">
          <w:rPr>
            <w:rStyle w:val="af"/>
            <w:noProof/>
          </w:rPr>
          <w:t>For explicitly availability indication case, a per-cell IAB-DU soft resource is considered as available with respect to a IAB MT serving cell only if the IAB MT is explicitly indicated as IA by DCI 2_5 from the CG that the serving cell belongs to.</w:t>
        </w:r>
      </w:hyperlink>
    </w:p>
    <w:p w:rsidR="00DF1CD0" w:rsidRDefault="00E11052">
      <w:pPr>
        <w:spacing w:before="120" w:after="120"/>
        <w:rPr>
          <w:sz w:val="20"/>
        </w:rPr>
      </w:pPr>
      <w:r>
        <w:fldChar w:fldCharType="end"/>
      </w:r>
    </w:p>
    <w:p w:rsidR="00DF1CD0" w:rsidRDefault="00E11052">
      <w:pPr>
        <w:pStyle w:val="1"/>
        <w:spacing w:before="120" w:after="120"/>
        <w:ind w:left="0"/>
        <w:rPr>
          <w:rFonts w:cs="Arial"/>
          <w:szCs w:val="32"/>
        </w:rPr>
      </w:pPr>
      <w:r>
        <w:rPr>
          <w:rFonts w:cs="Arial"/>
          <w:szCs w:val="32"/>
        </w:rPr>
        <w:t>References</w:t>
      </w:r>
    </w:p>
    <w:p w:rsidR="00DF1CD0" w:rsidRDefault="00E11052">
      <w:pPr>
        <w:pStyle w:val="References"/>
        <w:spacing w:before="120" w:after="120"/>
        <w:ind w:left="0" w:firstLine="0"/>
        <w:rPr>
          <w:sz w:val="20"/>
          <w:szCs w:val="20"/>
        </w:rPr>
      </w:pPr>
      <w:bookmarkStart w:id="124" w:name="_Ref16505925"/>
      <w:bookmarkStart w:id="125" w:name="_Ref6480"/>
      <w:bookmarkStart w:id="126" w:name="_Ref17466"/>
      <w:r>
        <w:rPr>
          <w:bCs/>
          <w:sz w:val="20"/>
          <w:szCs w:val="20"/>
        </w:rPr>
        <w:t>Chair's Notes RAN1#10</w:t>
      </w:r>
      <w:r>
        <w:rPr>
          <w:rFonts w:hint="eastAsia"/>
          <w:bCs/>
          <w:sz w:val="20"/>
          <w:szCs w:val="20"/>
        </w:rPr>
        <w:t>6</w:t>
      </w:r>
      <w:r>
        <w:rPr>
          <w:bCs/>
          <w:sz w:val="20"/>
          <w:szCs w:val="20"/>
        </w:rPr>
        <w:t>-e final</w:t>
      </w:r>
    </w:p>
    <w:p w:rsidR="00DF1CD0" w:rsidRDefault="00E11052">
      <w:pPr>
        <w:pStyle w:val="References"/>
        <w:spacing w:before="120" w:after="120"/>
        <w:ind w:left="0" w:firstLine="0"/>
        <w:rPr>
          <w:sz w:val="20"/>
          <w:szCs w:val="20"/>
        </w:rPr>
      </w:pPr>
      <w:r>
        <w:rPr>
          <w:rFonts w:hint="eastAsia"/>
          <w:sz w:val="20"/>
          <w:szCs w:val="20"/>
        </w:rPr>
        <w:t>R1-21</w:t>
      </w:r>
      <w:r>
        <w:rPr>
          <w:rFonts w:hint="eastAsia"/>
          <w:sz w:val="20"/>
          <w:szCs w:val="20"/>
        </w:rPr>
        <w:t>09263</w:t>
      </w:r>
      <w:r>
        <w:rPr>
          <w:rFonts w:hint="eastAsia"/>
          <w:sz w:val="20"/>
          <w:szCs w:val="20"/>
        </w:rPr>
        <w:t>, Consideration on reference carrier for semi-static IAB-DU resource configur</w:t>
      </w:r>
      <w:r>
        <w:rPr>
          <w:rFonts w:hint="eastAsia"/>
          <w:sz w:val="20"/>
          <w:szCs w:val="20"/>
        </w:rPr>
        <w:t>ation, ZTE, Sanechips</w:t>
      </w:r>
    </w:p>
    <w:bookmarkEnd w:id="124"/>
    <w:bookmarkEnd w:id="125"/>
    <w:bookmarkEnd w:id="126"/>
    <w:p w:rsidR="00DF1CD0" w:rsidRDefault="00DF1CD0">
      <w:pPr>
        <w:spacing w:beforeLines="0" w:afterLines="0"/>
        <w:jc w:val="left"/>
        <w:rPr>
          <w:sz w:val="20"/>
        </w:rPr>
      </w:pPr>
    </w:p>
    <w:sectPr w:rsidR="00DF1CD0">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E11052">
      <w:pPr>
        <w:spacing w:before="120" w:after="120"/>
      </w:pPr>
      <w:r>
        <w:separator/>
      </w:r>
    </w:p>
  </w:endnote>
  <w:endnote w:type="continuationSeparator" w:id="0">
    <w:p w:rsidR="00000000" w:rsidRDefault="00E11052">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1CD0" w:rsidRDefault="00DF1CD0">
    <w:pPr>
      <w:pStyle w:val="a7"/>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1CD0" w:rsidRDefault="00E11052">
    <w:pPr>
      <w:pStyle w:val="a7"/>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DF1CD0" w:rsidRDefault="00E11052">
                          <w:pPr>
                            <w:pStyle w:val="a7"/>
                            <w:spacing w:before="120" w:after="120"/>
                          </w:pPr>
                          <w:r>
                            <w:rPr>
                              <w:rFonts w:hint="eastAsia"/>
                            </w:rPr>
                            <w:fldChar w:fldCharType="begin"/>
                          </w:r>
                          <w:r>
                            <w:rPr>
                              <w:rFonts w:hint="eastAsia"/>
                            </w:rPr>
                            <w:instrText xml:space="preserve"> PAGE  \* MERGEFORMAT </w:instrText>
                          </w:r>
                          <w:r>
                            <w:rPr>
                              <w:rFonts w:hint="eastAsia"/>
                            </w:rPr>
                            <w:fldChar w:fldCharType="separate"/>
                          </w:r>
                          <w:r>
                            <w:rPr>
                              <w:noProof/>
                            </w:rPr>
                            <w:t>9</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" filled="f" stroked="f" strokeweight=".5pt">
              <v:textbox style="mso-fit-shape-to-text:t" inset="0,0,0,0">
                <w:txbxContent>
                  <w:p w:rsidR="00DF1CD0" w:rsidRDefault="00E11052">
                    <w:pPr>
                      <w:pStyle w:val="a7"/>
                      <w:spacing w:before="120" w:after="120"/>
                    </w:pPr>
                    <w:r>
                      <w:rPr>
                        <w:rFonts w:hint="eastAsia"/>
                      </w:rPr>
                      <w:fldChar w:fldCharType="begin"/>
                    </w:r>
                    <w:r>
                      <w:rPr>
                        <w:rFonts w:hint="eastAsia"/>
                      </w:rPr>
                      <w:instrText xml:space="preserve"> PAGE  \* MERGEFORMAT </w:instrText>
                    </w:r>
                    <w:r>
                      <w:rPr>
                        <w:rFonts w:hint="eastAsia"/>
                      </w:rPr>
                      <w:fldChar w:fldCharType="separate"/>
                    </w:r>
                    <w:r>
                      <w:rPr>
                        <w:noProof/>
                      </w:rPr>
                      <w:t>9</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1CD0" w:rsidRDefault="00DF1CD0">
    <w:pPr>
      <w:pStyle w:val="a7"/>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E11052">
      <w:pPr>
        <w:spacing w:before="120" w:after="120"/>
      </w:pPr>
      <w:r>
        <w:separator/>
      </w:r>
    </w:p>
  </w:footnote>
  <w:footnote w:type="continuationSeparator" w:id="0">
    <w:p w:rsidR="00000000" w:rsidRDefault="00E11052">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1CD0" w:rsidRDefault="00DF1CD0">
    <w:pPr>
      <w:pStyle w:val="a8"/>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1CD0" w:rsidRDefault="00DF1CD0">
    <w:pPr>
      <w:pStyle w:val="a8"/>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1CD0" w:rsidRDefault="00DF1CD0">
    <w:pPr>
      <w:pStyle w:val="a8"/>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3EC4750"/>
    <w:multiLevelType w:val="singleLevel"/>
    <w:tmpl w:val="A3EC4750"/>
    <w:lvl w:ilvl="0">
      <w:start w:val="1"/>
      <w:numFmt w:val="bullet"/>
      <w:lvlText w:val="▪"/>
      <w:lvlJc w:val="left"/>
      <w:pPr>
        <w:ind w:left="420" w:hanging="420"/>
      </w:pPr>
      <w:rPr>
        <w:rFonts w:ascii="Arial" w:hAnsi="Arial" w:cs="Arial" w:hint="default"/>
      </w:rPr>
    </w:lvl>
  </w:abstractNum>
  <w:abstractNum w:abstractNumId="1">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2">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3">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nsid w:val="127422E0"/>
    <w:multiLevelType w:val="multilevel"/>
    <w:tmpl w:val="12742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5E613EC"/>
    <w:multiLevelType w:val="multilevel"/>
    <w:tmpl w:val="25E613EC"/>
    <w:lvl w:ilvl="0">
      <w:numFmt w:val="bullet"/>
      <w:lvlText w:val="-"/>
      <w:lvlJc w:val="left"/>
      <w:pPr>
        <w:ind w:left="720" w:hanging="360"/>
      </w:pPr>
      <w:rPr>
        <w:rFonts w:ascii="Calibri" w:eastAsia="MS PGothic" w:hAnsi="Calibri" w:cs="Calibri"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nsid w:val="42917880"/>
    <w:multiLevelType w:val="multilevel"/>
    <w:tmpl w:val="429178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0">
    <w:nsid w:val="51B92DFE"/>
    <w:multiLevelType w:val="singleLevel"/>
    <w:tmpl w:val="51B92DFE"/>
    <w:lvl w:ilvl="0">
      <w:start w:val="1"/>
      <w:numFmt w:val="bullet"/>
      <w:lvlText w:val="▪"/>
      <w:lvlJc w:val="left"/>
      <w:pPr>
        <w:ind w:left="420" w:hanging="420"/>
      </w:pPr>
      <w:rPr>
        <w:rFonts w:ascii="Arial" w:hAnsi="Arial" w:cs="Arial" w:hint="default"/>
      </w:rPr>
    </w:lvl>
  </w:abstractNum>
  <w:abstractNum w:abstractNumId="11">
    <w:nsid w:val="55E329B4"/>
    <w:multiLevelType w:val="multilevel"/>
    <w:tmpl w:val="55E329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5E704311"/>
    <w:multiLevelType w:val="multilevel"/>
    <w:tmpl w:val="5E7043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D5D3CE4"/>
    <w:multiLevelType w:val="multilevel"/>
    <w:tmpl w:val="7D5D3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5">
    <w:nsid w:val="7FDE4D26"/>
    <w:multiLevelType w:val="multilevel"/>
    <w:tmpl w:val="7FDE4D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14"/>
  </w:num>
  <w:num w:numId="5">
    <w:abstractNumId w:val="2"/>
  </w:num>
  <w:num w:numId="6">
    <w:abstractNumId w:val="9"/>
  </w:num>
  <w:num w:numId="7">
    <w:abstractNumId w:val="7"/>
  </w:num>
  <w:num w:numId="8">
    <w:abstractNumId w:val="15"/>
  </w:num>
  <w:num w:numId="9">
    <w:abstractNumId w:val="13"/>
  </w:num>
  <w:num w:numId="10">
    <w:abstractNumId w:val="0"/>
  </w:num>
  <w:num w:numId="11">
    <w:abstractNumId w:val="10"/>
  </w:num>
  <w:num w:numId="12">
    <w:abstractNumId w:val="12"/>
  </w:num>
  <w:num w:numId="13">
    <w:abstractNumId w:val="11"/>
  </w:num>
  <w:num w:numId="14">
    <w:abstractNumId w:val="5"/>
  </w:num>
  <w:num w:numId="15">
    <w:abstractNumId w:val="6"/>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bordersDoNotSurroundHeader/>
  <w:bordersDoNotSurroundFooter/>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6EC9"/>
    <w:rsid w:val="000754BC"/>
    <w:rsid w:val="00092374"/>
    <w:rsid w:val="000B2976"/>
    <w:rsid w:val="000C3793"/>
    <w:rsid w:val="000E47D8"/>
    <w:rsid w:val="00101583"/>
    <w:rsid w:val="0010446B"/>
    <w:rsid w:val="00131276"/>
    <w:rsid w:val="001328F6"/>
    <w:rsid w:val="001438ED"/>
    <w:rsid w:val="00172A27"/>
    <w:rsid w:val="00195A3C"/>
    <w:rsid w:val="001C37AC"/>
    <w:rsid w:val="001E26F0"/>
    <w:rsid w:val="00213BB6"/>
    <w:rsid w:val="00260149"/>
    <w:rsid w:val="002F6018"/>
    <w:rsid w:val="002F7500"/>
    <w:rsid w:val="003270E2"/>
    <w:rsid w:val="0037726C"/>
    <w:rsid w:val="00383A4D"/>
    <w:rsid w:val="004209E3"/>
    <w:rsid w:val="00431105"/>
    <w:rsid w:val="00463C47"/>
    <w:rsid w:val="0049349F"/>
    <w:rsid w:val="004B042F"/>
    <w:rsid w:val="004B0544"/>
    <w:rsid w:val="00524B78"/>
    <w:rsid w:val="005478E8"/>
    <w:rsid w:val="005B065E"/>
    <w:rsid w:val="00637848"/>
    <w:rsid w:val="006F0DB0"/>
    <w:rsid w:val="00775067"/>
    <w:rsid w:val="00830169"/>
    <w:rsid w:val="00897D1C"/>
    <w:rsid w:val="008A33C7"/>
    <w:rsid w:val="008A36EF"/>
    <w:rsid w:val="008D11CE"/>
    <w:rsid w:val="0091082A"/>
    <w:rsid w:val="0095154E"/>
    <w:rsid w:val="0095347B"/>
    <w:rsid w:val="0096044C"/>
    <w:rsid w:val="00991FDE"/>
    <w:rsid w:val="009B66B6"/>
    <w:rsid w:val="00A03342"/>
    <w:rsid w:val="00A17866"/>
    <w:rsid w:val="00AE3454"/>
    <w:rsid w:val="00AE40F2"/>
    <w:rsid w:val="00B176DE"/>
    <w:rsid w:val="00BF060B"/>
    <w:rsid w:val="00C16AF2"/>
    <w:rsid w:val="00C25AF2"/>
    <w:rsid w:val="00C266BC"/>
    <w:rsid w:val="00C545F1"/>
    <w:rsid w:val="00C6793D"/>
    <w:rsid w:val="00CA568F"/>
    <w:rsid w:val="00CA7119"/>
    <w:rsid w:val="00CB5143"/>
    <w:rsid w:val="00CD6C47"/>
    <w:rsid w:val="00CE13C5"/>
    <w:rsid w:val="00D11D25"/>
    <w:rsid w:val="00D17949"/>
    <w:rsid w:val="00D24C6C"/>
    <w:rsid w:val="00D26197"/>
    <w:rsid w:val="00D6168B"/>
    <w:rsid w:val="00DA4B6A"/>
    <w:rsid w:val="00DF1CD0"/>
    <w:rsid w:val="00E11052"/>
    <w:rsid w:val="00E370F2"/>
    <w:rsid w:val="00E37D88"/>
    <w:rsid w:val="00EB3F2A"/>
    <w:rsid w:val="00EB4EC5"/>
    <w:rsid w:val="00EB4F8D"/>
    <w:rsid w:val="00F70243"/>
    <w:rsid w:val="00F73184"/>
    <w:rsid w:val="00FB48F8"/>
    <w:rsid w:val="00FC22D6"/>
    <w:rsid w:val="00FD2DE4"/>
    <w:rsid w:val="00FE3CF1"/>
    <w:rsid w:val="01242D9F"/>
    <w:rsid w:val="01611034"/>
    <w:rsid w:val="016C3261"/>
    <w:rsid w:val="01732C70"/>
    <w:rsid w:val="0175416B"/>
    <w:rsid w:val="01764F01"/>
    <w:rsid w:val="01A87802"/>
    <w:rsid w:val="01AA1F45"/>
    <w:rsid w:val="01BB0452"/>
    <w:rsid w:val="01CC3E95"/>
    <w:rsid w:val="01D837AC"/>
    <w:rsid w:val="0207518B"/>
    <w:rsid w:val="024D6B6A"/>
    <w:rsid w:val="02600914"/>
    <w:rsid w:val="0268259F"/>
    <w:rsid w:val="029B04E7"/>
    <w:rsid w:val="029C6023"/>
    <w:rsid w:val="02B76F46"/>
    <w:rsid w:val="02BA7D65"/>
    <w:rsid w:val="02C74C19"/>
    <w:rsid w:val="02D802A1"/>
    <w:rsid w:val="02DF3179"/>
    <w:rsid w:val="02FB76BE"/>
    <w:rsid w:val="03073BDC"/>
    <w:rsid w:val="033B7557"/>
    <w:rsid w:val="033F44DC"/>
    <w:rsid w:val="034D3640"/>
    <w:rsid w:val="03724FE0"/>
    <w:rsid w:val="03782650"/>
    <w:rsid w:val="03B8536C"/>
    <w:rsid w:val="03E96AC9"/>
    <w:rsid w:val="04305E9E"/>
    <w:rsid w:val="04427E99"/>
    <w:rsid w:val="049153B9"/>
    <w:rsid w:val="0495036C"/>
    <w:rsid w:val="04B75A28"/>
    <w:rsid w:val="04C41AB9"/>
    <w:rsid w:val="04E00EC8"/>
    <w:rsid w:val="05051EF1"/>
    <w:rsid w:val="050F45B3"/>
    <w:rsid w:val="052429B8"/>
    <w:rsid w:val="052641B9"/>
    <w:rsid w:val="0555228E"/>
    <w:rsid w:val="0567639C"/>
    <w:rsid w:val="056B0FB5"/>
    <w:rsid w:val="056B625E"/>
    <w:rsid w:val="05811E02"/>
    <w:rsid w:val="05900668"/>
    <w:rsid w:val="059D1E39"/>
    <w:rsid w:val="05E078B3"/>
    <w:rsid w:val="05EB0B66"/>
    <w:rsid w:val="062215F5"/>
    <w:rsid w:val="062C127E"/>
    <w:rsid w:val="06302B05"/>
    <w:rsid w:val="064B2A41"/>
    <w:rsid w:val="066A15C2"/>
    <w:rsid w:val="06721D26"/>
    <w:rsid w:val="069C3662"/>
    <w:rsid w:val="06DD5C75"/>
    <w:rsid w:val="06FF61E2"/>
    <w:rsid w:val="07264D3E"/>
    <w:rsid w:val="07272584"/>
    <w:rsid w:val="0728108C"/>
    <w:rsid w:val="073222C5"/>
    <w:rsid w:val="076D396F"/>
    <w:rsid w:val="077D0583"/>
    <w:rsid w:val="078D78BC"/>
    <w:rsid w:val="079724D0"/>
    <w:rsid w:val="07A15A71"/>
    <w:rsid w:val="07B347B6"/>
    <w:rsid w:val="07B50A20"/>
    <w:rsid w:val="07BA3644"/>
    <w:rsid w:val="07CB6EA0"/>
    <w:rsid w:val="07E43F25"/>
    <w:rsid w:val="080D07A4"/>
    <w:rsid w:val="08193B6B"/>
    <w:rsid w:val="082A352F"/>
    <w:rsid w:val="088A1EEE"/>
    <w:rsid w:val="0891402C"/>
    <w:rsid w:val="08C349D1"/>
    <w:rsid w:val="08C50184"/>
    <w:rsid w:val="08DB22C6"/>
    <w:rsid w:val="08DF7FEF"/>
    <w:rsid w:val="08E16393"/>
    <w:rsid w:val="08EA763A"/>
    <w:rsid w:val="08F4719E"/>
    <w:rsid w:val="08F52612"/>
    <w:rsid w:val="08F84F59"/>
    <w:rsid w:val="08FD5189"/>
    <w:rsid w:val="091C6591"/>
    <w:rsid w:val="091D58A2"/>
    <w:rsid w:val="09387AE9"/>
    <w:rsid w:val="094A6C57"/>
    <w:rsid w:val="09634C12"/>
    <w:rsid w:val="096E4E41"/>
    <w:rsid w:val="09802101"/>
    <w:rsid w:val="09806FE0"/>
    <w:rsid w:val="099C738A"/>
    <w:rsid w:val="09A177D3"/>
    <w:rsid w:val="09AF34D9"/>
    <w:rsid w:val="09B65D04"/>
    <w:rsid w:val="09B864DC"/>
    <w:rsid w:val="09DD707B"/>
    <w:rsid w:val="09DD70CA"/>
    <w:rsid w:val="09F67CD5"/>
    <w:rsid w:val="0A1C03DE"/>
    <w:rsid w:val="0A2606EA"/>
    <w:rsid w:val="0A2639D2"/>
    <w:rsid w:val="0A3805F9"/>
    <w:rsid w:val="0A415DB7"/>
    <w:rsid w:val="0A4F15D0"/>
    <w:rsid w:val="0A5B01BE"/>
    <w:rsid w:val="0A77380C"/>
    <w:rsid w:val="0A797C30"/>
    <w:rsid w:val="0A850856"/>
    <w:rsid w:val="0A882D8B"/>
    <w:rsid w:val="0A98567D"/>
    <w:rsid w:val="0ABA2C09"/>
    <w:rsid w:val="0AD34A5B"/>
    <w:rsid w:val="0AE43750"/>
    <w:rsid w:val="0AE64417"/>
    <w:rsid w:val="0B25627D"/>
    <w:rsid w:val="0B46017D"/>
    <w:rsid w:val="0B5E0A54"/>
    <w:rsid w:val="0B5F7116"/>
    <w:rsid w:val="0B64353D"/>
    <w:rsid w:val="0B6937F8"/>
    <w:rsid w:val="0B696C9D"/>
    <w:rsid w:val="0B7C4894"/>
    <w:rsid w:val="0B83577C"/>
    <w:rsid w:val="0B8723DA"/>
    <w:rsid w:val="0B942300"/>
    <w:rsid w:val="0B9E71DF"/>
    <w:rsid w:val="0BA23EEF"/>
    <w:rsid w:val="0BB20D48"/>
    <w:rsid w:val="0BBB406D"/>
    <w:rsid w:val="0BC008E1"/>
    <w:rsid w:val="0C1C3F65"/>
    <w:rsid w:val="0C2513DB"/>
    <w:rsid w:val="0C2F6748"/>
    <w:rsid w:val="0C4E56E5"/>
    <w:rsid w:val="0C6E0333"/>
    <w:rsid w:val="0C7D6E84"/>
    <w:rsid w:val="0C8E1612"/>
    <w:rsid w:val="0C9D30C2"/>
    <w:rsid w:val="0CAC2370"/>
    <w:rsid w:val="0CB7725B"/>
    <w:rsid w:val="0CC0539E"/>
    <w:rsid w:val="0D177E64"/>
    <w:rsid w:val="0D202AB9"/>
    <w:rsid w:val="0D3A607E"/>
    <w:rsid w:val="0D3D7500"/>
    <w:rsid w:val="0D7901AD"/>
    <w:rsid w:val="0D9D3B67"/>
    <w:rsid w:val="0D9D65F4"/>
    <w:rsid w:val="0DEF0149"/>
    <w:rsid w:val="0DF2210C"/>
    <w:rsid w:val="0DF66620"/>
    <w:rsid w:val="0E172BD0"/>
    <w:rsid w:val="0E173D9D"/>
    <w:rsid w:val="0E245E8E"/>
    <w:rsid w:val="0E347EB2"/>
    <w:rsid w:val="0E8B1A63"/>
    <w:rsid w:val="0EC915C0"/>
    <w:rsid w:val="0ED05E83"/>
    <w:rsid w:val="0FA61EB5"/>
    <w:rsid w:val="0FC52562"/>
    <w:rsid w:val="0FD0251C"/>
    <w:rsid w:val="0FE43E40"/>
    <w:rsid w:val="0FF8007A"/>
    <w:rsid w:val="0FFB1747"/>
    <w:rsid w:val="10481210"/>
    <w:rsid w:val="10A15C4F"/>
    <w:rsid w:val="10A50104"/>
    <w:rsid w:val="10B4298F"/>
    <w:rsid w:val="10CD6809"/>
    <w:rsid w:val="10E15426"/>
    <w:rsid w:val="10EB09DC"/>
    <w:rsid w:val="110F7F81"/>
    <w:rsid w:val="11122A47"/>
    <w:rsid w:val="111B3166"/>
    <w:rsid w:val="111B478D"/>
    <w:rsid w:val="11225EFA"/>
    <w:rsid w:val="115B3410"/>
    <w:rsid w:val="11757502"/>
    <w:rsid w:val="118066B7"/>
    <w:rsid w:val="119D7849"/>
    <w:rsid w:val="11A0652A"/>
    <w:rsid w:val="11D32C40"/>
    <w:rsid w:val="11D46DD9"/>
    <w:rsid w:val="121876B1"/>
    <w:rsid w:val="1242135C"/>
    <w:rsid w:val="124D1560"/>
    <w:rsid w:val="12C05409"/>
    <w:rsid w:val="12E82A0C"/>
    <w:rsid w:val="12FA7C9A"/>
    <w:rsid w:val="12FE3E89"/>
    <w:rsid w:val="13066F51"/>
    <w:rsid w:val="1311524A"/>
    <w:rsid w:val="13230953"/>
    <w:rsid w:val="13471CAD"/>
    <w:rsid w:val="136B24B6"/>
    <w:rsid w:val="13733DB0"/>
    <w:rsid w:val="13A1683F"/>
    <w:rsid w:val="13A40BF7"/>
    <w:rsid w:val="13F14073"/>
    <w:rsid w:val="14254C04"/>
    <w:rsid w:val="143F6ED6"/>
    <w:rsid w:val="144D7EBF"/>
    <w:rsid w:val="14605037"/>
    <w:rsid w:val="1460716A"/>
    <w:rsid w:val="146A7204"/>
    <w:rsid w:val="147133FF"/>
    <w:rsid w:val="14763CB9"/>
    <w:rsid w:val="14AA4309"/>
    <w:rsid w:val="14BB7FE7"/>
    <w:rsid w:val="14DA3DA1"/>
    <w:rsid w:val="14F14BDA"/>
    <w:rsid w:val="15052CF1"/>
    <w:rsid w:val="15461B60"/>
    <w:rsid w:val="157272F1"/>
    <w:rsid w:val="157C7F56"/>
    <w:rsid w:val="158B799D"/>
    <w:rsid w:val="159E61DE"/>
    <w:rsid w:val="15A0296E"/>
    <w:rsid w:val="15B521FB"/>
    <w:rsid w:val="15B6390D"/>
    <w:rsid w:val="15C4240D"/>
    <w:rsid w:val="15E25493"/>
    <w:rsid w:val="15EE66CD"/>
    <w:rsid w:val="161C0550"/>
    <w:rsid w:val="161E46A0"/>
    <w:rsid w:val="1636245A"/>
    <w:rsid w:val="164B3F2E"/>
    <w:rsid w:val="164E64CD"/>
    <w:rsid w:val="165324D6"/>
    <w:rsid w:val="167C139F"/>
    <w:rsid w:val="167F0BD3"/>
    <w:rsid w:val="16997FD8"/>
    <w:rsid w:val="169D643D"/>
    <w:rsid w:val="16A51A73"/>
    <w:rsid w:val="16B5117F"/>
    <w:rsid w:val="16C417D5"/>
    <w:rsid w:val="16E824A8"/>
    <w:rsid w:val="17155857"/>
    <w:rsid w:val="17190DE8"/>
    <w:rsid w:val="171B7471"/>
    <w:rsid w:val="17484E85"/>
    <w:rsid w:val="17485F55"/>
    <w:rsid w:val="174D1071"/>
    <w:rsid w:val="175C45B9"/>
    <w:rsid w:val="17603A01"/>
    <w:rsid w:val="1768417F"/>
    <w:rsid w:val="17685212"/>
    <w:rsid w:val="17950508"/>
    <w:rsid w:val="17A2352F"/>
    <w:rsid w:val="17CD30C3"/>
    <w:rsid w:val="17D11C01"/>
    <w:rsid w:val="17FB1C59"/>
    <w:rsid w:val="182A416B"/>
    <w:rsid w:val="18760295"/>
    <w:rsid w:val="188F4114"/>
    <w:rsid w:val="18A02C99"/>
    <w:rsid w:val="18BE6DC6"/>
    <w:rsid w:val="18E4558B"/>
    <w:rsid w:val="18E528E8"/>
    <w:rsid w:val="18EB7063"/>
    <w:rsid w:val="18ED23DF"/>
    <w:rsid w:val="19010C43"/>
    <w:rsid w:val="19084C73"/>
    <w:rsid w:val="190A786B"/>
    <w:rsid w:val="19117A25"/>
    <w:rsid w:val="192665B8"/>
    <w:rsid w:val="192821A1"/>
    <w:rsid w:val="1940045B"/>
    <w:rsid w:val="19456B51"/>
    <w:rsid w:val="194755B1"/>
    <w:rsid w:val="195F0918"/>
    <w:rsid w:val="1997688B"/>
    <w:rsid w:val="19C93110"/>
    <w:rsid w:val="19EA1C79"/>
    <w:rsid w:val="19ED14C2"/>
    <w:rsid w:val="1A054259"/>
    <w:rsid w:val="1A0B1ECE"/>
    <w:rsid w:val="1A3E3FD2"/>
    <w:rsid w:val="1A463AAE"/>
    <w:rsid w:val="1A647AA6"/>
    <w:rsid w:val="1A900408"/>
    <w:rsid w:val="1A92267D"/>
    <w:rsid w:val="1B001645"/>
    <w:rsid w:val="1B2B0BBF"/>
    <w:rsid w:val="1B3A60CA"/>
    <w:rsid w:val="1B3F00A2"/>
    <w:rsid w:val="1B447C2F"/>
    <w:rsid w:val="1B7F6005"/>
    <w:rsid w:val="1B9117B8"/>
    <w:rsid w:val="1BBA3EF4"/>
    <w:rsid w:val="1BD4384B"/>
    <w:rsid w:val="1BD65B53"/>
    <w:rsid w:val="1C033448"/>
    <w:rsid w:val="1C130F0B"/>
    <w:rsid w:val="1C132CB9"/>
    <w:rsid w:val="1C1D3C95"/>
    <w:rsid w:val="1C4C6431"/>
    <w:rsid w:val="1CA81298"/>
    <w:rsid w:val="1CA953F1"/>
    <w:rsid w:val="1CAC52FE"/>
    <w:rsid w:val="1CAF30F6"/>
    <w:rsid w:val="1CC35819"/>
    <w:rsid w:val="1CCC26CA"/>
    <w:rsid w:val="1CF158BE"/>
    <w:rsid w:val="1CFE7798"/>
    <w:rsid w:val="1D1A225E"/>
    <w:rsid w:val="1D487BE5"/>
    <w:rsid w:val="1D5433E7"/>
    <w:rsid w:val="1D837902"/>
    <w:rsid w:val="1D8D7CE0"/>
    <w:rsid w:val="1DA43059"/>
    <w:rsid w:val="1DB1592C"/>
    <w:rsid w:val="1DBA1B7C"/>
    <w:rsid w:val="1DC41552"/>
    <w:rsid w:val="1DD872DE"/>
    <w:rsid w:val="1E016C3A"/>
    <w:rsid w:val="1E0A719A"/>
    <w:rsid w:val="1E1D7435"/>
    <w:rsid w:val="1E2A568D"/>
    <w:rsid w:val="1E592A17"/>
    <w:rsid w:val="1E5B310E"/>
    <w:rsid w:val="1E5C71EF"/>
    <w:rsid w:val="1E65349D"/>
    <w:rsid w:val="1E867134"/>
    <w:rsid w:val="1E945211"/>
    <w:rsid w:val="1E9D6342"/>
    <w:rsid w:val="1EA16D63"/>
    <w:rsid w:val="1F474538"/>
    <w:rsid w:val="1F557221"/>
    <w:rsid w:val="1F605CBA"/>
    <w:rsid w:val="1F6C66AA"/>
    <w:rsid w:val="1F74548C"/>
    <w:rsid w:val="1FA8565C"/>
    <w:rsid w:val="1FBD574A"/>
    <w:rsid w:val="1FC90D7B"/>
    <w:rsid w:val="1FD13886"/>
    <w:rsid w:val="1FD13AB4"/>
    <w:rsid w:val="20083B9F"/>
    <w:rsid w:val="20150EA2"/>
    <w:rsid w:val="201B4F87"/>
    <w:rsid w:val="201D58DF"/>
    <w:rsid w:val="204E6676"/>
    <w:rsid w:val="20583F06"/>
    <w:rsid w:val="20615B8C"/>
    <w:rsid w:val="20642183"/>
    <w:rsid w:val="20687056"/>
    <w:rsid w:val="20735F0F"/>
    <w:rsid w:val="20973200"/>
    <w:rsid w:val="20B721C4"/>
    <w:rsid w:val="20C0060C"/>
    <w:rsid w:val="20DF0F13"/>
    <w:rsid w:val="20E736E7"/>
    <w:rsid w:val="20E8749C"/>
    <w:rsid w:val="20EE73D2"/>
    <w:rsid w:val="21012F40"/>
    <w:rsid w:val="21092478"/>
    <w:rsid w:val="212042BB"/>
    <w:rsid w:val="2123024A"/>
    <w:rsid w:val="214B6D79"/>
    <w:rsid w:val="21550432"/>
    <w:rsid w:val="216531A6"/>
    <w:rsid w:val="218D690B"/>
    <w:rsid w:val="2195668B"/>
    <w:rsid w:val="21B75A2D"/>
    <w:rsid w:val="21BE5AD4"/>
    <w:rsid w:val="21DD3E5D"/>
    <w:rsid w:val="21F75F55"/>
    <w:rsid w:val="221241FE"/>
    <w:rsid w:val="22186699"/>
    <w:rsid w:val="22200BBC"/>
    <w:rsid w:val="22404957"/>
    <w:rsid w:val="225C4EBE"/>
    <w:rsid w:val="2265730A"/>
    <w:rsid w:val="22717051"/>
    <w:rsid w:val="229051C4"/>
    <w:rsid w:val="22B54F2B"/>
    <w:rsid w:val="22CF3E6E"/>
    <w:rsid w:val="22D46EB5"/>
    <w:rsid w:val="22EC5A20"/>
    <w:rsid w:val="22F331F3"/>
    <w:rsid w:val="22FE758E"/>
    <w:rsid w:val="23081A49"/>
    <w:rsid w:val="2347444D"/>
    <w:rsid w:val="234C3925"/>
    <w:rsid w:val="2363596B"/>
    <w:rsid w:val="238B4B3D"/>
    <w:rsid w:val="238F6B97"/>
    <w:rsid w:val="23A82BC6"/>
    <w:rsid w:val="23BD76DD"/>
    <w:rsid w:val="23C37331"/>
    <w:rsid w:val="23E729CB"/>
    <w:rsid w:val="23F864A4"/>
    <w:rsid w:val="24532184"/>
    <w:rsid w:val="2454327B"/>
    <w:rsid w:val="245C52F8"/>
    <w:rsid w:val="2463385E"/>
    <w:rsid w:val="246E555F"/>
    <w:rsid w:val="24785134"/>
    <w:rsid w:val="249D68EB"/>
    <w:rsid w:val="249E52DD"/>
    <w:rsid w:val="24A33BCA"/>
    <w:rsid w:val="24A9092E"/>
    <w:rsid w:val="24CC3D54"/>
    <w:rsid w:val="24D1153E"/>
    <w:rsid w:val="24D364D0"/>
    <w:rsid w:val="24E450D2"/>
    <w:rsid w:val="250D568B"/>
    <w:rsid w:val="25123669"/>
    <w:rsid w:val="25134332"/>
    <w:rsid w:val="25523E31"/>
    <w:rsid w:val="257E508F"/>
    <w:rsid w:val="25B97BFA"/>
    <w:rsid w:val="260964FD"/>
    <w:rsid w:val="263F44B2"/>
    <w:rsid w:val="26432F2D"/>
    <w:rsid w:val="26524772"/>
    <w:rsid w:val="26637B78"/>
    <w:rsid w:val="26653CC0"/>
    <w:rsid w:val="26835002"/>
    <w:rsid w:val="268763EA"/>
    <w:rsid w:val="26940F76"/>
    <w:rsid w:val="26BF5712"/>
    <w:rsid w:val="26C518A3"/>
    <w:rsid w:val="270843CB"/>
    <w:rsid w:val="27446F61"/>
    <w:rsid w:val="27573BE3"/>
    <w:rsid w:val="275A7D71"/>
    <w:rsid w:val="27646849"/>
    <w:rsid w:val="27687814"/>
    <w:rsid w:val="278437C8"/>
    <w:rsid w:val="27876A02"/>
    <w:rsid w:val="27936550"/>
    <w:rsid w:val="27AB7429"/>
    <w:rsid w:val="27AF16DA"/>
    <w:rsid w:val="27BD6F85"/>
    <w:rsid w:val="27D120F7"/>
    <w:rsid w:val="27EB032C"/>
    <w:rsid w:val="27F072B0"/>
    <w:rsid w:val="28030384"/>
    <w:rsid w:val="280704EC"/>
    <w:rsid w:val="2813114F"/>
    <w:rsid w:val="28232708"/>
    <w:rsid w:val="285C053E"/>
    <w:rsid w:val="28A10779"/>
    <w:rsid w:val="28A33239"/>
    <w:rsid w:val="28D032B1"/>
    <w:rsid w:val="28D1259E"/>
    <w:rsid w:val="28DE250F"/>
    <w:rsid w:val="28EF451D"/>
    <w:rsid w:val="28F30310"/>
    <w:rsid w:val="29137A41"/>
    <w:rsid w:val="29400F36"/>
    <w:rsid w:val="29897853"/>
    <w:rsid w:val="29BA23FE"/>
    <w:rsid w:val="29C53D2A"/>
    <w:rsid w:val="29CA425D"/>
    <w:rsid w:val="29D75229"/>
    <w:rsid w:val="29FA7F26"/>
    <w:rsid w:val="2A063193"/>
    <w:rsid w:val="2A1F52CB"/>
    <w:rsid w:val="2A22125C"/>
    <w:rsid w:val="2A3B54E9"/>
    <w:rsid w:val="2A9E04FD"/>
    <w:rsid w:val="2A9F05E2"/>
    <w:rsid w:val="2AAD2833"/>
    <w:rsid w:val="2AD67ED7"/>
    <w:rsid w:val="2AE32A79"/>
    <w:rsid w:val="2AF21386"/>
    <w:rsid w:val="2AF97C72"/>
    <w:rsid w:val="2B0F6EBD"/>
    <w:rsid w:val="2B492BDE"/>
    <w:rsid w:val="2B774832"/>
    <w:rsid w:val="2B79224A"/>
    <w:rsid w:val="2B800489"/>
    <w:rsid w:val="2B993AB9"/>
    <w:rsid w:val="2BFC7923"/>
    <w:rsid w:val="2C095925"/>
    <w:rsid w:val="2C284025"/>
    <w:rsid w:val="2C3114F8"/>
    <w:rsid w:val="2C58138B"/>
    <w:rsid w:val="2C5B2EC9"/>
    <w:rsid w:val="2C6A6D90"/>
    <w:rsid w:val="2C752DA3"/>
    <w:rsid w:val="2C88108A"/>
    <w:rsid w:val="2CC95FCA"/>
    <w:rsid w:val="2CD5521B"/>
    <w:rsid w:val="2CDF4EA7"/>
    <w:rsid w:val="2CED15B4"/>
    <w:rsid w:val="2D3A72F3"/>
    <w:rsid w:val="2D6246E4"/>
    <w:rsid w:val="2D6343AB"/>
    <w:rsid w:val="2D7336D4"/>
    <w:rsid w:val="2D737381"/>
    <w:rsid w:val="2D9E7F15"/>
    <w:rsid w:val="2DB34D95"/>
    <w:rsid w:val="2DDB7390"/>
    <w:rsid w:val="2E0B71A3"/>
    <w:rsid w:val="2E43495E"/>
    <w:rsid w:val="2E565144"/>
    <w:rsid w:val="2E5D1918"/>
    <w:rsid w:val="2E682BDC"/>
    <w:rsid w:val="2EB14206"/>
    <w:rsid w:val="2EC47799"/>
    <w:rsid w:val="2EEA7F54"/>
    <w:rsid w:val="2EF30977"/>
    <w:rsid w:val="2EF41560"/>
    <w:rsid w:val="2EF95F20"/>
    <w:rsid w:val="2F014680"/>
    <w:rsid w:val="2F035019"/>
    <w:rsid w:val="2F1251F2"/>
    <w:rsid w:val="2F1C393F"/>
    <w:rsid w:val="2F3F6809"/>
    <w:rsid w:val="2F4417B7"/>
    <w:rsid w:val="2F7518BF"/>
    <w:rsid w:val="2F8116F2"/>
    <w:rsid w:val="2F8D1148"/>
    <w:rsid w:val="2F910C1D"/>
    <w:rsid w:val="2FA82443"/>
    <w:rsid w:val="2FAF16DA"/>
    <w:rsid w:val="2FCB5ADE"/>
    <w:rsid w:val="2FFA7AC5"/>
    <w:rsid w:val="30031FDD"/>
    <w:rsid w:val="300566B8"/>
    <w:rsid w:val="300C4C48"/>
    <w:rsid w:val="302D7908"/>
    <w:rsid w:val="307F4F1F"/>
    <w:rsid w:val="308C701E"/>
    <w:rsid w:val="309416D4"/>
    <w:rsid w:val="30962F3E"/>
    <w:rsid w:val="30BB37E0"/>
    <w:rsid w:val="30D17E68"/>
    <w:rsid w:val="30DC7A4A"/>
    <w:rsid w:val="30FE3A51"/>
    <w:rsid w:val="30FF2795"/>
    <w:rsid w:val="310817B5"/>
    <w:rsid w:val="31107606"/>
    <w:rsid w:val="312D28B6"/>
    <w:rsid w:val="3152339D"/>
    <w:rsid w:val="31584DCB"/>
    <w:rsid w:val="318F7EFC"/>
    <w:rsid w:val="319D2272"/>
    <w:rsid w:val="31D4027E"/>
    <w:rsid w:val="31F036E6"/>
    <w:rsid w:val="31F2731A"/>
    <w:rsid w:val="323803A0"/>
    <w:rsid w:val="326E24EC"/>
    <w:rsid w:val="32733F4B"/>
    <w:rsid w:val="3294240B"/>
    <w:rsid w:val="329A6ACE"/>
    <w:rsid w:val="32B70A3D"/>
    <w:rsid w:val="32C91568"/>
    <w:rsid w:val="32DB4306"/>
    <w:rsid w:val="32FF6B7F"/>
    <w:rsid w:val="3301415B"/>
    <w:rsid w:val="333F0D74"/>
    <w:rsid w:val="33405271"/>
    <w:rsid w:val="334C1A6F"/>
    <w:rsid w:val="33620994"/>
    <w:rsid w:val="33872D84"/>
    <w:rsid w:val="3394726C"/>
    <w:rsid w:val="33E06F61"/>
    <w:rsid w:val="33F20E3B"/>
    <w:rsid w:val="33F251AE"/>
    <w:rsid w:val="33F431B2"/>
    <w:rsid w:val="3417519C"/>
    <w:rsid w:val="34433C6F"/>
    <w:rsid w:val="345D6540"/>
    <w:rsid w:val="3471669F"/>
    <w:rsid w:val="347B0435"/>
    <w:rsid w:val="347F074C"/>
    <w:rsid w:val="34D63724"/>
    <w:rsid w:val="34DE539B"/>
    <w:rsid w:val="34F4460A"/>
    <w:rsid w:val="3542702B"/>
    <w:rsid w:val="35735AB0"/>
    <w:rsid w:val="358B286A"/>
    <w:rsid w:val="359267D1"/>
    <w:rsid w:val="35BD0748"/>
    <w:rsid w:val="35C83B50"/>
    <w:rsid w:val="35FB6B76"/>
    <w:rsid w:val="360B1D73"/>
    <w:rsid w:val="3619296A"/>
    <w:rsid w:val="361F3323"/>
    <w:rsid w:val="362D7D64"/>
    <w:rsid w:val="365353DA"/>
    <w:rsid w:val="365E7106"/>
    <w:rsid w:val="36622E5A"/>
    <w:rsid w:val="36BF4A21"/>
    <w:rsid w:val="36CA6C81"/>
    <w:rsid w:val="36D262F5"/>
    <w:rsid w:val="36DC1D7A"/>
    <w:rsid w:val="36E67011"/>
    <w:rsid w:val="36E93760"/>
    <w:rsid w:val="370F6234"/>
    <w:rsid w:val="37187BEB"/>
    <w:rsid w:val="371C2DB5"/>
    <w:rsid w:val="37222E3D"/>
    <w:rsid w:val="373634F9"/>
    <w:rsid w:val="37541C7E"/>
    <w:rsid w:val="375739E5"/>
    <w:rsid w:val="37652A07"/>
    <w:rsid w:val="376951C2"/>
    <w:rsid w:val="37716352"/>
    <w:rsid w:val="3784394E"/>
    <w:rsid w:val="378E47A3"/>
    <w:rsid w:val="3808179B"/>
    <w:rsid w:val="38306900"/>
    <w:rsid w:val="383541BC"/>
    <w:rsid w:val="383B1564"/>
    <w:rsid w:val="38542505"/>
    <w:rsid w:val="388A2DE1"/>
    <w:rsid w:val="38AE3BB0"/>
    <w:rsid w:val="38CB7858"/>
    <w:rsid w:val="38D76C3A"/>
    <w:rsid w:val="38EA38A8"/>
    <w:rsid w:val="38EE5F1F"/>
    <w:rsid w:val="39047288"/>
    <w:rsid w:val="39306F40"/>
    <w:rsid w:val="39367F70"/>
    <w:rsid w:val="39473D66"/>
    <w:rsid w:val="395C7DC0"/>
    <w:rsid w:val="398858C0"/>
    <w:rsid w:val="39BB0C81"/>
    <w:rsid w:val="39C82AE2"/>
    <w:rsid w:val="39CF1F7D"/>
    <w:rsid w:val="39D67290"/>
    <w:rsid w:val="3A026BF2"/>
    <w:rsid w:val="3A0E1777"/>
    <w:rsid w:val="3A1131D2"/>
    <w:rsid w:val="3A1A0A06"/>
    <w:rsid w:val="3A2B6321"/>
    <w:rsid w:val="3A505E74"/>
    <w:rsid w:val="3A8B4B94"/>
    <w:rsid w:val="3A8D1659"/>
    <w:rsid w:val="3A96251C"/>
    <w:rsid w:val="3AA4620D"/>
    <w:rsid w:val="3AB2754D"/>
    <w:rsid w:val="3ACB5746"/>
    <w:rsid w:val="3AEC16D9"/>
    <w:rsid w:val="3B0F0CED"/>
    <w:rsid w:val="3B1376BF"/>
    <w:rsid w:val="3B2E4BF0"/>
    <w:rsid w:val="3B3B10D9"/>
    <w:rsid w:val="3B3C14D8"/>
    <w:rsid w:val="3B481E1D"/>
    <w:rsid w:val="3B6F73F0"/>
    <w:rsid w:val="3BA00A05"/>
    <w:rsid w:val="3BB20883"/>
    <w:rsid w:val="3BBB4FAA"/>
    <w:rsid w:val="3BBD2D5F"/>
    <w:rsid w:val="3BBF6D31"/>
    <w:rsid w:val="3BCF59DF"/>
    <w:rsid w:val="3BDD3DF6"/>
    <w:rsid w:val="3BF4670E"/>
    <w:rsid w:val="3C0F7315"/>
    <w:rsid w:val="3C241A8D"/>
    <w:rsid w:val="3C47033F"/>
    <w:rsid w:val="3C751B18"/>
    <w:rsid w:val="3C932B60"/>
    <w:rsid w:val="3CD70293"/>
    <w:rsid w:val="3CF25993"/>
    <w:rsid w:val="3D114392"/>
    <w:rsid w:val="3D1D669C"/>
    <w:rsid w:val="3D3C0F91"/>
    <w:rsid w:val="3D3E003B"/>
    <w:rsid w:val="3D53448E"/>
    <w:rsid w:val="3D566E05"/>
    <w:rsid w:val="3D572567"/>
    <w:rsid w:val="3D623F90"/>
    <w:rsid w:val="3D696F2C"/>
    <w:rsid w:val="3DA8275C"/>
    <w:rsid w:val="3DB93ACC"/>
    <w:rsid w:val="3DC27F2C"/>
    <w:rsid w:val="3DD64737"/>
    <w:rsid w:val="3DE3424D"/>
    <w:rsid w:val="3DF0568B"/>
    <w:rsid w:val="3DFA62E7"/>
    <w:rsid w:val="3E0F3230"/>
    <w:rsid w:val="3E11467C"/>
    <w:rsid w:val="3E123AC8"/>
    <w:rsid w:val="3E124AE0"/>
    <w:rsid w:val="3E2D0D5E"/>
    <w:rsid w:val="3E420401"/>
    <w:rsid w:val="3E441C7D"/>
    <w:rsid w:val="3E667511"/>
    <w:rsid w:val="3E87427E"/>
    <w:rsid w:val="3E916C15"/>
    <w:rsid w:val="3EA011C8"/>
    <w:rsid w:val="3EC750DC"/>
    <w:rsid w:val="3ED25246"/>
    <w:rsid w:val="3EF736A6"/>
    <w:rsid w:val="3EFE7717"/>
    <w:rsid w:val="3F2B53F6"/>
    <w:rsid w:val="3F3D0D92"/>
    <w:rsid w:val="3F497473"/>
    <w:rsid w:val="3F562F06"/>
    <w:rsid w:val="3F5E004C"/>
    <w:rsid w:val="3F7935A3"/>
    <w:rsid w:val="3F96543E"/>
    <w:rsid w:val="3F9F5CD2"/>
    <w:rsid w:val="3FA661A3"/>
    <w:rsid w:val="3FA70F37"/>
    <w:rsid w:val="3FC04CC5"/>
    <w:rsid w:val="3FC37158"/>
    <w:rsid w:val="3FC956FF"/>
    <w:rsid w:val="3FD07AC1"/>
    <w:rsid w:val="3FD94F77"/>
    <w:rsid w:val="3FDD4694"/>
    <w:rsid w:val="3FEA0478"/>
    <w:rsid w:val="3FEB59DE"/>
    <w:rsid w:val="3FEF0C27"/>
    <w:rsid w:val="401E7A7A"/>
    <w:rsid w:val="402220F3"/>
    <w:rsid w:val="40573579"/>
    <w:rsid w:val="40A36A71"/>
    <w:rsid w:val="40C916CE"/>
    <w:rsid w:val="40E13F25"/>
    <w:rsid w:val="40E63AE3"/>
    <w:rsid w:val="40EE5453"/>
    <w:rsid w:val="40F70178"/>
    <w:rsid w:val="410E4736"/>
    <w:rsid w:val="41235C5C"/>
    <w:rsid w:val="4125142C"/>
    <w:rsid w:val="414C6DC9"/>
    <w:rsid w:val="41672264"/>
    <w:rsid w:val="4167334E"/>
    <w:rsid w:val="41A06235"/>
    <w:rsid w:val="41AE0DA7"/>
    <w:rsid w:val="41D3631F"/>
    <w:rsid w:val="41D56BBE"/>
    <w:rsid w:val="41DE098A"/>
    <w:rsid w:val="41E357B9"/>
    <w:rsid w:val="41EB45BD"/>
    <w:rsid w:val="41F466FD"/>
    <w:rsid w:val="420C3131"/>
    <w:rsid w:val="42391C72"/>
    <w:rsid w:val="423D5B37"/>
    <w:rsid w:val="42500B82"/>
    <w:rsid w:val="425554D7"/>
    <w:rsid w:val="4274077B"/>
    <w:rsid w:val="428B32C7"/>
    <w:rsid w:val="429E7CA8"/>
    <w:rsid w:val="42A67A24"/>
    <w:rsid w:val="42D846B9"/>
    <w:rsid w:val="42DE3219"/>
    <w:rsid w:val="42F94D73"/>
    <w:rsid w:val="433D45DB"/>
    <w:rsid w:val="435756B9"/>
    <w:rsid w:val="436605D4"/>
    <w:rsid w:val="437B0C4E"/>
    <w:rsid w:val="437D54BB"/>
    <w:rsid w:val="43AF1FBF"/>
    <w:rsid w:val="43BD04CB"/>
    <w:rsid w:val="43BD6876"/>
    <w:rsid w:val="43C560F4"/>
    <w:rsid w:val="43C65B5D"/>
    <w:rsid w:val="43CC187E"/>
    <w:rsid w:val="43E1138F"/>
    <w:rsid w:val="44026F0F"/>
    <w:rsid w:val="440D25AB"/>
    <w:rsid w:val="440D5045"/>
    <w:rsid w:val="446D7220"/>
    <w:rsid w:val="448875B1"/>
    <w:rsid w:val="448C6892"/>
    <w:rsid w:val="44911D0E"/>
    <w:rsid w:val="44A07D89"/>
    <w:rsid w:val="44AA2537"/>
    <w:rsid w:val="44C659AB"/>
    <w:rsid w:val="44F17E5B"/>
    <w:rsid w:val="44F662CA"/>
    <w:rsid w:val="45242C1D"/>
    <w:rsid w:val="452938B5"/>
    <w:rsid w:val="45385570"/>
    <w:rsid w:val="453872E3"/>
    <w:rsid w:val="453F49D7"/>
    <w:rsid w:val="4550163C"/>
    <w:rsid w:val="455129BB"/>
    <w:rsid w:val="45915C76"/>
    <w:rsid w:val="4599614F"/>
    <w:rsid w:val="45A03958"/>
    <w:rsid w:val="45AC5FA5"/>
    <w:rsid w:val="45B80DC7"/>
    <w:rsid w:val="45BE6191"/>
    <w:rsid w:val="45D223A1"/>
    <w:rsid w:val="45E45EFA"/>
    <w:rsid w:val="46010CB2"/>
    <w:rsid w:val="460C5979"/>
    <w:rsid w:val="462F6229"/>
    <w:rsid w:val="463522AA"/>
    <w:rsid w:val="4684563E"/>
    <w:rsid w:val="46A44486"/>
    <w:rsid w:val="46D33878"/>
    <w:rsid w:val="46ED2A7E"/>
    <w:rsid w:val="47243903"/>
    <w:rsid w:val="47384688"/>
    <w:rsid w:val="47420ACA"/>
    <w:rsid w:val="474F3371"/>
    <w:rsid w:val="47626D84"/>
    <w:rsid w:val="476402F9"/>
    <w:rsid w:val="47C01792"/>
    <w:rsid w:val="47C07054"/>
    <w:rsid w:val="47C40ECF"/>
    <w:rsid w:val="47C76BA7"/>
    <w:rsid w:val="47CB1144"/>
    <w:rsid w:val="47CF5519"/>
    <w:rsid w:val="47DE4A4B"/>
    <w:rsid w:val="47E240A3"/>
    <w:rsid w:val="4808150F"/>
    <w:rsid w:val="480F5DBF"/>
    <w:rsid w:val="48246304"/>
    <w:rsid w:val="482A533A"/>
    <w:rsid w:val="483213E3"/>
    <w:rsid w:val="487763C9"/>
    <w:rsid w:val="48962726"/>
    <w:rsid w:val="48B5617A"/>
    <w:rsid w:val="48BB4158"/>
    <w:rsid w:val="49143CF0"/>
    <w:rsid w:val="491B5DA3"/>
    <w:rsid w:val="49334111"/>
    <w:rsid w:val="494F75D4"/>
    <w:rsid w:val="495274AB"/>
    <w:rsid w:val="495F1074"/>
    <w:rsid w:val="497C38F2"/>
    <w:rsid w:val="499943C1"/>
    <w:rsid w:val="49D0193A"/>
    <w:rsid w:val="49E9233D"/>
    <w:rsid w:val="49EA336A"/>
    <w:rsid w:val="4A011123"/>
    <w:rsid w:val="4A1D2508"/>
    <w:rsid w:val="4A4857E4"/>
    <w:rsid w:val="4A7B54D1"/>
    <w:rsid w:val="4A91485C"/>
    <w:rsid w:val="4AAD1944"/>
    <w:rsid w:val="4AC31003"/>
    <w:rsid w:val="4ACD13AF"/>
    <w:rsid w:val="4AD63754"/>
    <w:rsid w:val="4ADC4DC7"/>
    <w:rsid w:val="4AE93159"/>
    <w:rsid w:val="4AFE06C7"/>
    <w:rsid w:val="4B035163"/>
    <w:rsid w:val="4B155921"/>
    <w:rsid w:val="4B2D01D6"/>
    <w:rsid w:val="4B5519B1"/>
    <w:rsid w:val="4BA65A9E"/>
    <w:rsid w:val="4BB64519"/>
    <w:rsid w:val="4BD0339A"/>
    <w:rsid w:val="4BD45173"/>
    <w:rsid w:val="4BD91E1B"/>
    <w:rsid w:val="4BDE7077"/>
    <w:rsid w:val="4BEA46D3"/>
    <w:rsid w:val="4C233E56"/>
    <w:rsid w:val="4C505F58"/>
    <w:rsid w:val="4CB30E8A"/>
    <w:rsid w:val="4CC66885"/>
    <w:rsid w:val="4CDE0BF1"/>
    <w:rsid w:val="4CEE2FE8"/>
    <w:rsid w:val="4CFA3574"/>
    <w:rsid w:val="4D0D5330"/>
    <w:rsid w:val="4D165B45"/>
    <w:rsid w:val="4D462159"/>
    <w:rsid w:val="4D494984"/>
    <w:rsid w:val="4D5C5FAC"/>
    <w:rsid w:val="4D796563"/>
    <w:rsid w:val="4DA471FA"/>
    <w:rsid w:val="4DC605B6"/>
    <w:rsid w:val="4DE8647C"/>
    <w:rsid w:val="4DE95FFE"/>
    <w:rsid w:val="4DEC0985"/>
    <w:rsid w:val="4DFB299D"/>
    <w:rsid w:val="4E06555F"/>
    <w:rsid w:val="4E0B23DC"/>
    <w:rsid w:val="4E21088B"/>
    <w:rsid w:val="4E27683A"/>
    <w:rsid w:val="4E60747F"/>
    <w:rsid w:val="4E670969"/>
    <w:rsid w:val="4E775574"/>
    <w:rsid w:val="4E815066"/>
    <w:rsid w:val="4EB263A5"/>
    <w:rsid w:val="4EB80640"/>
    <w:rsid w:val="4EBD7739"/>
    <w:rsid w:val="4EBF59D7"/>
    <w:rsid w:val="4EC24407"/>
    <w:rsid w:val="4ECA78AC"/>
    <w:rsid w:val="4EF92759"/>
    <w:rsid w:val="4F062385"/>
    <w:rsid w:val="4F1D1740"/>
    <w:rsid w:val="4F245E83"/>
    <w:rsid w:val="4F2765B1"/>
    <w:rsid w:val="4F285975"/>
    <w:rsid w:val="4F503F63"/>
    <w:rsid w:val="4FA75F34"/>
    <w:rsid w:val="4FA775FE"/>
    <w:rsid w:val="4FBC4859"/>
    <w:rsid w:val="50292DAE"/>
    <w:rsid w:val="504745F9"/>
    <w:rsid w:val="50677ABD"/>
    <w:rsid w:val="50841662"/>
    <w:rsid w:val="50CC13AC"/>
    <w:rsid w:val="50EB0A87"/>
    <w:rsid w:val="5100265D"/>
    <w:rsid w:val="512D37EA"/>
    <w:rsid w:val="51383C97"/>
    <w:rsid w:val="51634B98"/>
    <w:rsid w:val="516C2222"/>
    <w:rsid w:val="5175128E"/>
    <w:rsid w:val="51796EDE"/>
    <w:rsid w:val="51867298"/>
    <w:rsid w:val="51A754A4"/>
    <w:rsid w:val="51B56802"/>
    <w:rsid w:val="51BA1BD7"/>
    <w:rsid w:val="51C6376F"/>
    <w:rsid w:val="51C64AA7"/>
    <w:rsid w:val="51CA5AF8"/>
    <w:rsid w:val="51CE69CD"/>
    <w:rsid w:val="52152F69"/>
    <w:rsid w:val="52195EDF"/>
    <w:rsid w:val="52313387"/>
    <w:rsid w:val="5234294D"/>
    <w:rsid w:val="52B70CE8"/>
    <w:rsid w:val="52C15317"/>
    <w:rsid w:val="52DC1ADB"/>
    <w:rsid w:val="52E04D27"/>
    <w:rsid w:val="52FE706D"/>
    <w:rsid w:val="530E3985"/>
    <w:rsid w:val="53133D7F"/>
    <w:rsid w:val="531F4DB7"/>
    <w:rsid w:val="532049AA"/>
    <w:rsid w:val="533A497A"/>
    <w:rsid w:val="534750B2"/>
    <w:rsid w:val="53561C56"/>
    <w:rsid w:val="535A4F60"/>
    <w:rsid w:val="537C393E"/>
    <w:rsid w:val="5389465B"/>
    <w:rsid w:val="539A390F"/>
    <w:rsid w:val="53CA1266"/>
    <w:rsid w:val="53CC2497"/>
    <w:rsid w:val="53DB3477"/>
    <w:rsid w:val="53F7289B"/>
    <w:rsid w:val="5418371F"/>
    <w:rsid w:val="547471FE"/>
    <w:rsid w:val="547E6147"/>
    <w:rsid w:val="548A16D1"/>
    <w:rsid w:val="549048B8"/>
    <w:rsid w:val="549710CF"/>
    <w:rsid w:val="54AF6B42"/>
    <w:rsid w:val="54CC1A43"/>
    <w:rsid w:val="54CD1541"/>
    <w:rsid w:val="54E85C46"/>
    <w:rsid w:val="54EE2B11"/>
    <w:rsid w:val="552C6CE5"/>
    <w:rsid w:val="553C373A"/>
    <w:rsid w:val="5543733F"/>
    <w:rsid w:val="55612587"/>
    <w:rsid w:val="556903B3"/>
    <w:rsid w:val="55C238E0"/>
    <w:rsid w:val="55DD6F2A"/>
    <w:rsid w:val="55EA6FB7"/>
    <w:rsid w:val="560038A7"/>
    <w:rsid w:val="560F1962"/>
    <w:rsid w:val="563B6259"/>
    <w:rsid w:val="56486A48"/>
    <w:rsid w:val="564F1961"/>
    <w:rsid w:val="56654271"/>
    <w:rsid w:val="566F49CD"/>
    <w:rsid w:val="56AF0675"/>
    <w:rsid w:val="56BA1F35"/>
    <w:rsid w:val="56BB1404"/>
    <w:rsid w:val="56E23970"/>
    <w:rsid w:val="56EC1AF6"/>
    <w:rsid w:val="571238D5"/>
    <w:rsid w:val="57264B5D"/>
    <w:rsid w:val="574B1D04"/>
    <w:rsid w:val="574F0776"/>
    <w:rsid w:val="575E1504"/>
    <w:rsid w:val="576066CB"/>
    <w:rsid w:val="577A3C7D"/>
    <w:rsid w:val="578218F7"/>
    <w:rsid w:val="578A2CE2"/>
    <w:rsid w:val="578F220A"/>
    <w:rsid w:val="57D5313D"/>
    <w:rsid w:val="57F80414"/>
    <w:rsid w:val="57FC07D9"/>
    <w:rsid w:val="58104A79"/>
    <w:rsid w:val="581A6D0E"/>
    <w:rsid w:val="58500F22"/>
    <w:rsid w:val="58546326"/>
    <w:rsid w:val="58552662"/>
    <w:rsid w:val="58750BBA"/>
    <w:rsid w:val="588B6ED5"/>
    <w:rsid w:val="589C7682"/>
    <w:rsid w:val="58D6067B"/>
    <w:rsid w:val="58D74CE8"/>
    <w:rsid w:val="58DD6594"/>
    <w:rsid w:val="591C0009"/>
    <w:rsid w:val="59535E11"/>
    <w:rsid w:val="59653F72"/>
    <w:rsid w:val="596F537C"/>
    <w:rsid w:val="597467AF"/>
    <w:rsid w:val="597B53CB"/>
    <w:rsid w:val="59827129"/>
    <w:rsid w:val="59934D2B"/>
    <w:rsid w:val="5996164F"/>
    <w:rsid w:val="59D13F28"/>
    <w:rsid w:val="59E20335"/>
    <w:rsid w:val="59E55C05"/>
    <w:rsid w:val="5A195D50"/>
    <w:rsid w:val="5A4C6435"/>
    <w:rsid w:val="5A6859E9"/>
    <w:rsid w:val="5A686A4F"/>
    <w:rsid w:val="5A7E35F5"/>
    <w:rsid w:val="5A8715C6"/>
    <w:rsid w:val="5A8772BF"/>
    <w:rsid w:val="5A97012B"/>
    <w:rsid w:val="5AB35369"/>
    <w:rsid w:val="5ACF0F3A"/>
    <w:rsid w:val="5AF77B9B"/>
    <w:rsid w:val="5B0E6543"/>
    <w:rsid w:val="5B0F5B78"/>
    <w:rsid w:val="5B317CFB"/>
    <w:rsid w:val="5B4D3894"/>
    <w:rsid w:val="5B544E3B"/>
    <w:rsid w:val="5B6F6842"/>
    <w:rsid w:val="5B84695F"/>
    <w:rsid w:val="5B967B3B"/>
    <w:rsid w:val="5B9A3CB5"/>
    <w:rsid w:val="5B9C77D4"/>
    <w:rsid w:val="5BBE5693"/>
    <w:rsid w:val="5BCC25C3"/>
    <w:rsid w:val="5BD956F6"/>
    <w:rsid w:val="5C4C7245"/>
    <w:rsid w:val="5C514478"/>
    <w:rsid w:val="5C65288C"/>
    <w:rsid w:val="5C6666E8"/>
    <w:rsid w:val="5C6B1600"/>
    <w:rsid w:val="5C74626A"/>
    <w:rsid w:val="5C921AD0"/>
    <w:rsid w:val="5C9D69BA"/>
    <w:rsid w:val="5CBC5C00"/>
    <w:rsid w:val="5CBD0902"/>
    <w:rsid w:val="5CCE33B6"/>
    <w:rsid w:val="5CCF59D5"/>
    <w:rsid w:val="5CD506FB"/>
    <w:rsid w:val="5CEC0852"/>
    <w:rsid w:val="5CF11F4D"/>
    <w:rsid w:val="5D066D1F"/>
    <w:rsid w:val="5D134559"/>
    <w:rsid w:val="5D285D09"/>
    <w:rsid w:val="5D3075C4"/>
    <w:rsid w:val="5D437858"/>
    <w:rsid w:val="5D5107F3"/>
    <w:rsid w:val="5D7F292D"/>
    <w:rsid w:val="5D932F89"/>
    <w:rsid w:val="5DDE4F94"/>
    <w:rsid w:val="5DF07A97"/>
    <w:rsid w:val="5DF560E0"/>
    <w:rsid w:val="5DF73B4F"/>
    <w:rsid w:val="5DFD51DB"/>
    <w:rsid w:val="5E0D36E5"/>
    <w:rsid w:val="5E0E3CD2"/>
    <w:rsid w:val="5E3F3062"/>
    <w:rsid w:val="5EC93EB0"/>
    <w:rsid w:val="5ED26EDC"/>
    <w:rsid w:val="5ED907FA"/>
    <w:rsid w:val="5EDC2CC4"/>
    <w:rsid w:val="5F0C163E"/>
    <w:rsid w:val="5F187C26"/>
    <w:rsid w:val="5F530978"/>
    <w:rsid w:val="5F7E7711"/>
    <w:rsid w:val="5F9C1FB9"/>
    <w:rsid w:val="5FA2234E"/>
    <w:rsid w:val="5FC930FE"/>
    <w:rsid w:val="5FFB63BC"/>
    <w:rsid w:val="60046FC0"/>
    <w:rsid w:val="600C28B1"/>
    <w:rsid w:val="60210F40"/>
    <w:rsid w:val="602247F3"/>
    <w:rsid w:val="60290171"/>
    <w:rsid w:val="60311C0F"/>
    <w:rsid w:val="604743EF"/>
    <w:rsid w:val="604B29AE"/>
    <w:rsid w:val="604F434E"/>
    <w:rsid w:val="60537CF0"/>
    <w:rsid w:val="6058204E"/>
    <w:rsid w:val="605B76AF"/>
    <w:rsid w:val="607C3753"/>
    <w:rsid w:val="60833AD5"/>
    <w:rsid w:val="60884BAA"/>
    <w:rsid w:val="609524A2"/>
    <w:rsid w:val="609D66B7"/>
    <w:rsid w:val="60AB572C"/>
    <w:rsid w:val="60C17A6F"/>
    <w:rsid w:val="60C30855"/>
    <w:rsid w:val="60DC11BD"/>
    <w:rsid w:val="60E82D61"/>
    <w:rsid w:val="60FB7009"/>
    <w:rsid w:val="60FD6A8A"/>
    <w:rsid w:val="610A746C"/>
    <w:rsid w:val="611E7A14"/>
    <w:rsid w:val="611F0AEA"/>
    <w:rsid w:val="61421EFD"/>
    <w:rsid w:val="615B5C49"/>
    <w:rsid w:val="615C5041"/>
    <w:rsid w:val="61701990"/>
    <w:rsid w:val="61774E66"/>
    <w:rsid w:val="61775C7A"/>
    <w:rsid w:val="617A7B9B"/>
    <w:rsid w:val="61A114F4"/>
    <w:rsid w:val="61F446AD"/>
    <w:rsid w:val="621606EA"/>
    <w:rsid w:val="624D3D13"/>
    <w:rsid w:val="62871256"/>
    <w:rsid w:val="62D95643"/>
    <w:rsid w:val="631E4ADB"/>
    <w:rsid w:val="63483DFC"/>
    <w:rsid w:val="634C10F1"/>
    <w:rsid w:val="634C2128"/>
    <w:rsid w:val="636D49EB"/>
    <w:rsid w:val="637B4FAA"/>
    <w:rsid w:val="63CD5B32"/>
    <w:rsid w:val="64283F1E"/>
    <w:rsid w:val="6430243A"/>
    <w:rsid w:val="644F1BEF"/>
    <w:rsid w:val="645E6098"/>
    <w:rsid w:val="64842805"/>
    <w:rsid w:val="64857194"/>
    <w:rsid w:val="648E6735"/>
    <w:rsid w:val="64A70841"/>
    <w:rsid w:val="64AA5B5E"/>
    <w:rsid w:val="64D160D4"/>
    <w:rsid w:val="64F72692"/>
    <w:rsid w:val="64F90E10"/>
    <w:rsid w:val="652416F2"/>
    <w:rsid w:val="652A51C3"/>
    <w:rsid w:val="65602229"/>
    <w:rsid w:val="656D2999"/>
    <w:rsid w:val="65935921"/>
    <w:rsid w:val="65E72847"/>
    <w:rsid w:val="66102965"/>
    <w:rsid w:val="66142614"/>
    <w:rsid w:val="66210E38"/>
    <w:rsid w:val="663D17FB"/>
    <w:rsid w:val="664805B8"/>
    <w:rsid w:val="664F5AC6"/>
    <w:rsid w:val="66722FDA"/>
    <w:rsid w:val="669C7ACE"/>
    <w:rsid w:val="66AF2DA9"/>
    <w:rsid w:val="66B17833"/>
    <w:rsid w:val="66B25ED0"/>
    <w:rsid w:val="66C52CA9"/>
    <w:rsid w:val="66C61F93"/>
    <w:rsid w:val="66C97DE2"/>
    <w:rsid w:val="66D508D3"/>
    <w:rsid w:val="66D77565"/>
    <w:rsid w:val="66DE161A"/>
    <w:rsid w:val="66DE3600"/>
    <w:rsid w:val="66E36CB3"/>
    <w:rsid w:val="671D1C28"/>
    <w:rsid w:val="67520E36"/>
    <w:rsid w:val="67832303"/>
    <w:rsid w:val="67861B83"/>
    <w:rsid w:val="67933837"/>
    <w:rsid w:val="67A80E85"/>
    <w:rsid w:val="67B346EE"/>
    <w:rsid w:val="67B71753"/>
    <w:rsid w:val="67C15F14"/>
    <w:rsid w:val="67C80FE9"/>
    <w:rsid w:val="67CB73CE"/>
    <w:rsid w:val="67CE7B2D"/>
    <w:rsid w:val="67DA7BAF"/>
    <w:rsid w:val="67E26C11"/>
    <w:rsid w:val="68002D61"/>
    <w:rsid w:val="681B060F"/>
    <w:rsid w:val="68CD2E64"/>
    <w:rsid w:val="68CE5E39"/>
    <w:rsid w:val="68DE1611"/>
    <w:rsid w:val="68E26EB0"/>
    <w:rsid w:val="690F418B"/>
    <w:rsid w:val="694B6536"/>
    <w:rsid w:val="696D2FD1"/>
    <w:rsid w:val="699C063A"/>
    <w:rsid w:val="69CF5653"/>
    <w:rsid w:val="6A2068B5"/>
    <w:rsid w:val="6A2451CA"/>
    <w:rsid w:val="6A2558BD"/>
    <w:rsid w:val="6A430ACC"/>
    <w:rsid w:val="6A460340"/>
    <w:rsid w:val="6A4C71EC"/>
    <w:rsid w:val="6A565B23"/>
    <w:rsid w:val="6A7A2736"/>
    <w:rsid w:val="6A7B4B9C"/>
    <w:rsid w:val="6A84592E"/>
    <w:rsid w:val="6A865A9C"/>
    <w:rsid w:val="6AA03DCE"/>
    <w:rsid w:val="6AB75DB6"/>
    <w:rsid w:val="6ABD3008"/>
    <w:rsid w:val="6AC21F74"/>
    <w:rsid w:val="6AC64760"/>
    <w:rsid w:val="6AE043A0"/>
    <w:rsid w:val="6AE24669"/>
    <w:rsid w:val="6AFF1904"/>
    <w:rsid w:val="6B0B3D28"/>
    <w:rsid w:val="6B222A71"/>
    <w:rsid w:val="6B852B82"/>
    <w:rsid w:val="6B8C7B08"/>
    <w:rsid w:val="6B8E644D"/>
    <w:rsid w:val="6B90417B"/>
    <w:rsid w:val="6B984555"/>
    <w:rsid w:val="6BA118CB"/>
    <w:rsid w:val="6BB575E0"/>
    <w:rsid w:val="6BC07BDD"/>
    <w:rsid w:val="6BDC41B8"/>
    <w:rsid w:val="6BE50618"/>
    <w:rsid w:val="6C1F5441"/>
    <w:rsid w:val="6C2C6374"/>
    <w:rsid w:val="6C6B2E5D"/>
    <w:rsid w:val="6C706368"/>
    <w:rsid w:val="6C89456C"/>
    <w:rsid w:val="6CA9489E"/>
    <w:rsid w:val="6CC9334F"/>
    <w:rsid w:val="6CD93433"/>
    <w:rsid w:val="6D1A69F7"/>
    <w:rsid w:val="6D1B6FEA"/>
    <w:rsid w:val="6D43317B"/>
    <w:rsid w:val="6D4E221F"/>
    <w:rsid w:val="6D526AEA"/>
    <w:rsid w:val="6D612F85"/>
    <w:rsid w:val="6D6353D3"/>
    <w:rsid w:val="6D763AB7"/>
    <w:rsid w:val="6D83784F"/>
    <w:rsid w:val="6D8555DF"/>
    <w:rsid w:val="6DA9560D"/>
    <w:rsid w:val="6DB371D6"/>
    <w:rsid w:val="6DB77EF3"/>
    <w:rsid w:val="6DBE08C8"/>
    <w:rsid w:val="6DDB16D3"/>
    <w:rsid w:val="6DE00F35"/>
    <w:rsid w:val="6E007EEC"/>
    <w:rsid w:val="6E0C5549"/>
    <w:rsid w:val="6E234ADC"/>
    <w:rsid w:val="6E351FF2"/>
    <w:rsid w:val="6E381F2C"/>
    <w:rsid w:val="6E910E63"/>
    <w:rsid w:val="6E965D7B"/>
    <w:rsid w:val="6EC915AC"/>
    <w:rsid w:val="6ED7047B"/>
    <w:rsid w:val="6EEB786C"/>
    <w:rsid w:val="6F022B15"/>
    <w:rsid w:val="6F1A2493"/>
    <w:rsid w:val="6F2150D5"/>
    <w:rsid w:val="6F335E7F"/>
    <w:rsid w:val="6F3535CE"/>
    <w:rsid w:val="6F467914"/>
    <w:rsid w:val="6F4A774C"/>
    <w:rsid w:val="6F592CB0"/>
    <w:rsid w:val="6F5C4459"/>
    <w:rsid w:val="6F641FBE"/>
    <w:rsid w:val="6F752A52"/>
    <w:rsid w:val="6F8C0982"/>
    <w:rsid w:val="6F901B66"/>
    <w:rsid w:val="6F957829"/>
    <w:rsid w:val="6F971CA9"/>
    <w:rsid w:val="6FA629D4"/>
    <w:rsid w:val="6FD10552"/>
    <w:rsid w:val="6FD45B40"/>
    <w:rsid w:val="704522F9"/>
    <w:rsid w:val="70607A2E"/>
    <w:rsid w:val="706A0FBA"/>
    <w:rsid w:val="70B90E60"/>
    <w:rsid w:val="70BB2EF0"/>
    <w:rsid w:val="70BE5D64"/>
    <w:rsid w:val="70DC0AA4"/>
    <w:rsid w:val="70DE4403"/>
    <w:rsid w:val="711C79FD"/>
    <w:rsid w:val="712C7E41"/>
    <w:rsid w:val="714F2B10"/>
    <w:rsid w:val="717631D0"/>
    <w:rsid w:val="718B305D"/>
    <w:rsid w:val="71BA1A69"/>
    <w:rsid w:val="71D36091"/>
    <w:rsid w:val="720D0F5A"/>
    <w:rsid w:val="7241154A"/>
    <w:rsid w:val="724C20E1"/>
    <w:rsid w:val="72520A5C"/>
    <w:rsid w:val="727964FE"/>
    <w:rsid w:val="72A90FF4"/>
    <w:rsid w:val="72B847CD"/>
    <w:rsid w:val="72C1546B"/>
    <w:rsid w:val="72EB7520"/>
    <w:rsid w:val="72F67373"/>
    <w:rsid w:val="72FA46A1"/>
    <w:rsid w:val="72FC5649"/>
    <w:rsid w:val="730418F3"/>
    <w:rsid w:val="730D49C6"/>
    <w:rsid w:val="731176A5"/>
    <w:rsid w:val="732C5792"/>
    <w:rsid w:val="734022C6"/>
    <w:rsid w:val="73455C21"/>
    <w:rsid w:val="734B447B"/>
    <w:rsid w:val="73817121"/>
    <w:rsid w:val="7394450F"/>
    <w:rsid w:val="73A44FF0"/>
    <w:rsid w:val="73BB1943"/>
    <w:rsid w:val="73C16DC6"/>
    <w:rsid w:val="73D425F7"/>
    <w:rsid w:val="73D5727F"/>
    <w:rsid w:val="73DC3F3D"/>
    <w:rsid w:val="741D7214"/>
    <w:rsid w:val="74235503"/>
    <w:rsid w:val="7444697F"/>
    <w:rsid w:val="74542A7F"/>
    <w:rsid w:val="74737FFD"/>
    <w:rsid w:val="74777AD6"/>
    <w:rsid w:val="74B10A6C"/>
    <w:rsid w:val="74EB1461"/>
    <w:rsid w:val="75021F46"/>
    <w:rsid w:val="750A2023"/>
    <w:rsid w:val="75161558"/>
    <w:rsid w:val="75186425"/>
    <w:rsid w:val="75546A24"/>
    <w:rsid w:val="755F747C"/>
    <w:rsid w:val="75634211"/>
    <w:rsid w:val="75672AFC"/>
    <w:rsid w:val="757E00B7"/>
    <w:rsid w:val="75C57CED"/>
    <w:rsid w:val="75CF1EFD"/>
    <w:rsid w:val="75E92500"/>
    <w:rsid w:val="75F50716"/>
    <w:rsid w:val="7601192A"/>
    <w:rsid w:val="76356303"/>
    <w:rsid w:val="763753C5"/>
    <w:rsid w:val="763E108B"/>
    <w:rsid w:val="76515E10"/>
    <w:rsid w:val="766679F1"/>
    <w:rsid w:val="766A278B"/>
    <w:rsid w:val="766E0562"/>
    <w:rsid w:val="7676736A"/>
    <w:rsid w:val="767B0A8B"/>
    <w:rsid w:val="767B1D8E"/>
    <w:rsid w:val="767F7268"/>
    <w:rsid w:val="76933951"/>
    <w:rsid w:val="76B0156B"/>
    <w:rsid w:val="76D22801"/>
    <w:rsid w:val="76EA04FB"/>
    <w:rsid w:val="77026720"/>
    <w:rsid w:val="771D661B"/>
    <w:rsid w:val="771F7714"/>
    <w:rsid w:val="77604BCB"/>
    <w:rsid w:val="776B23EC"/>
    <w:rsid w:val="776C17F1"/>
    <w:rsid w:val="778A0884"/>
    <w:rsid w:val="77C01A62"/>
    <w:rsid w:val="77C47127"/>
    <w:rsid w:val="77C77827"/>
    <w:rsid w:val="77C931DD"/>
    <w:rsid w:val="77F270AE"/>
    <w:rsid w:val="780C1FE1"/>
    <w:rsid w:val="78323B18"/>
    <w:rsid w:val="78460C88"/>
    <w:rsid w:val="786019DE"/>
    <w:rsid w:val="786862F1"/>
    <w:rsid w:val="786D5A24"/>
    <w:rsid w:val="7878243B"/>
    <w:rsid w:val="78782A0D"/>
    <w:rsid w:val="7883389A"/>
    <w:rsid w:val="7884239C"/>
    <w:rsid w:val="78D319C1"/>
    <w:rsid w:val="78D90469"/>
    <w:rsid w:val="78F92D89"/>
    <w:rsid w:val="78FB108A"/>
    <w:rsid w:val="790E76FB"/>
    <w:rsid w:val="792C2671"/>
    <w:rsid w:val="793156E6"/>
    <w:rsid w:val="793A1E6E"/>
    <w:rsid w:val="79632130"/>
    <w:rsid w:val="79746717"/>
    <w:rsid w:val="7991338C"/>
    <w:rsid w:val="79A2171F"/>
    <w:rsid w:val="79A252FF"/>
    <w:rsid w:val="79B61010"/>
    <w:rsid w:val="79B87B65"/>
    <w:rsid w:val="79CE59E0"/>
    <w:rsid w:val="79CE6488"/>
    <w:rsid w:val="79D33056"/>
    <w:rsid w:val="79E1770B"/>
    <w:rsid w:val="79F11422"/>
    <w:rsid w:val="79FE0955"/>
    <w:rsid w:val="7A3E0D3F"/>
    <w:rsid w:val="7A803312"/>
    <w:rsid w:val="7A8154E9"/>
    <w:rsid w:val="7A906CCD"/>
    <w:rsid w:val="7AAE0141"/>
    <w:rsid w:val="7AC64B17"/>
    <w:rsid w:val="7AE206DA"/>
    <w:rsid w:val="7AE82AF6"/>
    <w:rsid w:val="7B065CDA"/>
    <w:rsid w:val="7B226C12"/>
    <w:rsid w:val="7B420027"/>
    <w:rsid w:val="7B6B27D9"/>
    <w:rsid w:val="7B74181A"/>
    <w:rsid w:val="7B84199A"/>
    <w:rsid w:val="7BB235DA"/>
    <w:rsid w:val="7BDD743A"/>
    <w:rsid w:val="7C26369C"/>
    <w:rsid w:val="7C396F20"/>
    <w:rsid w:val="7C805BA4"/>
    <w:rsid w:val="7C8868A5"/>
    <w:rsid w:val="7C934551"/>
    <w:rsid w:val="7C940F43"/>
    <w:rsid w:val="7C9E5A24"/>
    <w:rsid w:val="7CA31FF8"/>
    <w:rsid w:val="7CAA5930"/>
    <w:rsid w:val="7CAC00CB"/>
    <w:rsid w:val="7CC76BD4"/>
    <w:rsid w:val="7CCB1622"/>
    <w:rsid w:val="7CF03A72"/>
    <w:rsid w:val="7D022AC7"/>
    <w:rsid w:val="7D2D029F"/>
    <w:rsid w:val="7D575412"/>
    <w:rsid w:val="7D591D74"/>
    <w:rsid w:val="7D62117D"/>
    <w:rsid w:val="7DA30048"/>
    <w:rsid w:val="7DB54254"/>
    <w:rsid w:val="7DB5752C"/>
    <w:rsid w:val="7DB6724D"/>
    <w:rsid w:val="7DF95E9C"/>
    <w:rsid w:val="7E03036B"/>
    <w:rsid w:val="7E053373"/>
    <w:rsid w:val="7E2042F7"/>
    <w:rsid w:val="7E3E1EF2"/>
    <w:rsid w:val="7E4A1724"/>
    <w:rsid w:val="7E532923"/>
    <w:rsid w:val="7E951513"/>
    <w:rsid w:val="7EA11669"/>
    <w:rsid w:val="7EBC2810"/>
    <w:rsid w:val="7EF6631E"/>
    <w:rsid w:val="7EF74FC9"/>
    <w:rsid w:val="7F1B649D"/>
    <w:rsid w:val="7F355D7B"/>
    <w:rsid w:val="7F40442A"/>
    <w:rsid w:val="7F7339B4"/>
    <w:rsid w:val="7F78103F"/>
    <w:rsid w:val="7F91511A"/>
    <w:rsid w:val="7F98736F"/>
    <w:rsid w:val="7F9D0AE4"/>
    <w:rsid w:val="7FBB1557"/>
    <w:rsid w:val="7FBB2F58"/>
    <w:rsid w:val="7FD113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95097CD-3141-4B20-B7B3-7ADA259F3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0" w:qFormat="1"/>
    <w:lsdException w:name="footer" w:semiHidden="1"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afterLines="50"/>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sz w:val="18"/>
      <w:szCs w:val="18"/>
    </w:rPr>
  </w:style>
  <w:style w:type="paragraph" w:styleId="a4">
    <w:name w:val="annotation text"/>
    <w:basedOn w:val="a"/>
    <w:link w:val="Char0"/>
    <w:uiPriority w:val="99"/>
    <w:semiHidden/>
    <w:unhideWhenUsed/>
    <w:qFormat/>
    <w:pPr>
      <w:jc w:val="left"/>
    </w:pPr>
  </w:style>
  <w:style w:type="paragraph" w:styleId="a5">
    <w:name w:val="Body Text"/>
    <w:basedOn w:val="a"/>
    <w:qFormat/>
    <w:pPr>
      <w:spacing w:after="120"/>
    </w:pPr>
  </w:style>
  <w:style w:type="paragraph" w:styleId="30">
    <w:name w:val="toc 3"/>
    <w:basedOn w:val="a"/>
    <w:next w:val="a"/>
    <w:uiPriority w:val="99"/>
    <w:unhideWhenUsed/>
    <w:qFormat/>
    <w:pPr>
      <w:adjustRightInd w:val="0"/>
      <w:ind w:leftChars="400" w:left="1282" w:hangingChars="200" w:hanging="442"/>
    </w:pPr>
    <w:rPr>
      <w:b/>
      <w:i/>
      <w:sz w:val="20"/>
    </w:rPr>
  </w:style>
  <w:style w:type="paragraph" w:styleId="a6">
    <w:name w:val="Balloon Text"/>
    <w:basedOn w:val="a"/>
    <w:link w:val="Char1"/>
    <w:uiPriority w:val="99"/>
    <w:semiHidden/>
    <w:unhideWhenUsed/>
    <w:qFormat/>
    <w:rPr>
      <w:sz w:val="18"/>
      <w:szCs w:val="18"/>
    </w:rPr>
  </w:style>
  <w:style w:type="paragraph" w:styleId="a7">
    <w:name w:val="footer"/>
    <w:basedOn w:val="a"/>
    <w:uiPriority w:val="99"/>
    <w:semiHidden/>
    <w:unhideWhenUsed/>
    <w:qFormat/>
    <w:pPr>
      <w:tabs>
        <w:tab w:val="center" w:pos="4153"/>
        <w:tab w:val="right" w:pos="8306"/>
      </w:tabs>
      <w:snapToGrid w:val="0"/>
      <w:jc w:val="left"/>
    </w:pPr>
    <w:rPr>
      <w:sz w:val="18"/>
      <w:szCs w:val="18"/>
    </w:rPr>
  </w:style>
  <w:style w:type="paragraph" w:styleId="a8">
    <w:name w:val="header"/>
    <w:basedOn w:val="a"/>
    <w:semiHidden/>
    <w:qFormat/>
    <w:pPr>
      <w:tabs>
        <w:tab w:val="center" w:pos="4680"/>
        <w:tab w:val="right" w:pos="9360"/>
      </w:tabs>
    </w:pPr>
  </w:style>
  <w:style w:type="paragraph" w:styleId="10">
    <w:name w:val="toc 1"/>
    <w:basedOn w:val="a"/>
    <w:next w:val="a"/>
    <w:uiPriority w:val="39"/>
    <w:unhideWhenUsed/>
    <w:qFormat/>
    <w:pPr>
      <w:tabs>
        <w:tab w:val="decimal" w:pos="0"/>
        <w:tab w:val="right" w:pos="9660"/>
      </w:tabs>
      <w:ind w:rightChars="200" w:right="420"/>
      <w:jc w:val="left"/>
    </w:pPr>
    <w:rPr>
      <w:rFonts w:eastAsiaTheme="minorEastAsia"/>
      <w:b/>
      <w:bCs/>
      <w:i/>
      <w:iCs/>
      <w:sz w:val="20"/>
    </w:rPr>
  </w:style>
  <w:style w:type="paragraph" w:styleId="a9">
    <w:name w:val="table of figures"/>
    <w:basedOn w:val="a"/>
    <w:next w:val="a"/>
    <w:uiPriority w:val="99"/>
    <w:semiHidden/>
    <w:unhideWhenUsed/>
    <w:qFormat/>
    <w:pPr>
      <w:ind w:leftChars="200" w:left="200" w:hangingChars="200" w:hanging="200"/>
    </w:pPr>
  </w:style>
  <w:style w:type="paragraph" w:styleId="20">
    <w:name w:val="toc 2"/>
    <w:basedOn w:val="a"/>
    <w:next w:val="a"/>
    <w:uiPriority w:val="39"/>
    <w:unhideWhenUsed/>
    <w:qFormat/>
    <w:pPr>
      <w:tabs>
        <w:tab w:val="right" w:pos="420"/>
      </w:tabs>
      <w:ind w:leftChars="200" w:left="862" w:hangingChars="200" w:hanging="442"/>
      <w:jc w:val="left"/>
    </w:pPr>
    <w:rPr>
      <w:b/>
      <w:i/>
      <w:sz w:val="20"/>
    </w:rPr>
  </w:style>
  <w:style w:type="paragraph" w:styleId="aa">
    <w:name w:val="Normal (Web)"/>
    <w:basedOn w:val="a"/>
    <w:uiPriority w:val="99"/>
    <w:qFormat/>
    <w:pPr>
      <w:spacing w:before="100" w:beforeAutospacing="1" w:after="100" w:afterAutospacing="1"/>
    </w:pPr>
    <w:rPr>
      <w:rFonts w:ascii="Arial" w:hAnsi="Arial" w:cs="Arial"/>
      <w:color w:val="493118"/>
      <w:sz w:val="18"/>
      <w:szCs w:val="18"/>
    </w:rPr>
  </w:style>
  <w:style w:type="paragraph" w:styleId="ab">
    <w:name w:val="annotation subject"/>
    <w:basedOn w:val="a4"/>
    <w:next w:val="a4"/>
    <w:link w:val="Char2"/>
    <w:uiPriority w:val="99"/>
    <w:semiHidden/>
    <w:unhideWhenUsed/>
    <w:qFormat/>
    <w:rPr>
      <w:b/>
      <w:bCs/>
    </w:rPr>
  </w:style>
  <w:style w:type="table" w:styleId="ac">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uiPriority w:val="22"/>
    <w:qFormat/>
    <w:rPr>
      <w:b/>
      <w:bCs/>
    </w:rPr>
  </w:style>
  <w:style w:type="character" w:styleId="ae">
    <w:name w:val="page number"/>
    <w:basedOn w:val="a0"/>
    <w:semiHidden/>
    <w:qFormat/>
  </w:style>
  <w:style w:type="character" w:styleId="af">
    <w:name w:val="Hyperlink"/>
    <w:basedOn w:val="a0"/>
    <w:uiPriority w:val="99"/>
    <w:unhideWhenUsed/>
    <w:qFormat/>
    <w:rPr>
      <w:color w:val="0000FF" w:themeColor="hyperlink"/>
      <w:u w:val="single"/>
    </w:rPr>
  </w:style>
  <w:style w:type="character" w:styleId="af0">
    <w:name w:val="annotation reference"/>
    <w:uiPriority w:val="99"/>
    <w:qFormat/>
    <w:rPr>
      <w:sz w:val="16"/>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sub-proposal">
    <w:name w:val="sub-proposal"/>
    <w:basedOn w:val="YJ-Proposal"/>
    <w:next w:val="a"/>
    <w:qFormat/>
    <w:pPr>
      <w:numPr>
        <w:numId w:val="4"/>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f1">
    <w:name w:val="List Paragraph"/>
    <w:basedOn w:val="a"/>
    <w:uiPriority w:val="34"/>
    <w:qFormat/>
    <w:pPr>
      <w:spacing w:beforeLines="0"/>
      <w:ind w:left="720"/>
      <w:contextualSpacing/>
    </w:pPr>
    <w:rPr>
      <w:rFonts w:eastAsia="Times New Roman"/>
      <w:sz w:val="24"/>
      <w:szCs w:val="24"/>
    </w:rPr>
  </w:style>
  <w:style w:type="paragraph" w:customStyle="1" w:styleId="11">
    <w:name w:val="样式1"/>
    <w:basedOn w:val="a"/>
    <w:qFormat/>
  </w:style>
  <w:style w:type="paragraph" w:customStyle="1" w:styleId="21">
    <w:name w:val="样式2"/>
    <w:basedOn w:val="a"/>
    <w:qFormat/>
  </w:style>
  <w:style w:type="character" w:customStyle="1" w:styleId="Char">
    <w:name w:val="文档结构图 Char"/>
    <w:basedOn w:val="a0"/>
    <w:link w:val="a3"/>
    <w:uiPriority w:val="99"/>
    <w:semiHidden/>
    <w:qFormat/>
    <w:rPr>
      <w:rFonts w:ascii="宋体"/>
      <w:kern w:val="2"/>
      <w:sz w:val="18"/>
      <w:szCs w:val="18"/>
    </w:rPr>
  </w:style>
  <w:style w:type="character" w:customStyle="1" w:styleId="Char1">
    <w:name w:val="批注框文本 Char"/>
    <w:basedOn w:val="a0"/>
    <w:link w:val="a6"/>
    <w:uiPriority w:val="99"/>
    <w:semiHidden/>
    <w:qFormat/>
    <w:rPr>
      <w:kern w:val="2"/>
      <w:sz w:val="18"/>
      <w:szCs w:val="18"/>
    </w:rPr>
  </w:style>
  <w:style w:type="character" w:customStyle="1" w:styleId="Char0">
    <w:name w:val="批注文字 Char"/>
    <w:basedOn w:val="a0"/>
    <w:link w:val="a4"/>
    <w:uiPriority w:val="99"/>
    <w:semiHidden/>
    <w:qFormat/>
    <w:rPr>
      <w:kern w:val="2"/>
      <w:sz w:val="21"/>
    </w:rPr>
  </w:style>
  <w:style w:type="character" w:customStyle="1" w:styleId="Char2">
    <w:name w:val="批注主题 Char"/>
    <w:basedOn w:val="Char0"/>
    <w:link w:val="ab"/>
    <w:qFormat/>
    <w:rPr>
      <w:kern w:val="2"/>
      <w:sz w:val="21"/>
    </w:rPr>
  </w:style>
  <w:style w:type="paragraph" w:customStyle="1" w:styleId="B1">
    <w:name w:val="B1"/>
    <w:basedOn w:val="a"/>
    <w:qFormat/>
    <w:pPr>
      <w:ind w:left="568" w:hanging="284"/>
    </w:pPr>
    <w:rPr>
      <w:lang w:val="zh-CN"/>
    </w:rPr>
  </w:style>
  <w:style w:type="paragraph" w:customStyle="1" w:styleId="maintext">
    <w:name w:val="main text"/>
    <w:basedOn w:val="a"/>
    <w:qFormat/>
    <w:pPr>
      <w:spacing w:before="60" w:after="60" w:line="288" w:lineRule="auto"/>
      <w:ind w:firstLineChars="200" w:firstLine="200"/>
    </w:pPr>
    <w:rPr>
      <w:rFonts w:eastAsia="Malgun Gothic"/>
      <w:lang w:eastAsia="ko-KR"/>
    </w:rPr>
  </w:style>
  <w:style w:type="character" w:customStyle="1" w:styleId="apple-converted-space">
    <w:name w:val="apple-converted-spac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4493</Words>
  <Characters>25615</Characters>
  <Application>Microsoft Office Word</Application>
  <DocSecurity>0</DocSecurity>
  <Lines>213</Lines>
  <Paragraphs>60</Paragraphs>
  <ScaleCrop>false</ScaleCrop>
  <Company>ZTE</Company>
  <LinksUpToDate>false</LinksUpToDate>
  <CharactersWithSpaces>30048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xingweimin</cp:lastModifiedBy>
  <cp:revision>36</cp:revision>
  <dcterms:created xsi:type="dcterms:W3CDTF">2021-01-17T13:40:00Z</dcterms:created>
  <dcterms:modified xsi:type="dcterms:W3CDTF">2021-09-30T11:38:00Z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